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rPr>
      </w:pPr>
    </w:p>
    <w:p>
      <w:pPr>
        <w:jc w:val="center"/>
        <w:rPr>
          <w:rFonts w:ascii="Times New Roman" w:hAnsi="Times New Roman" w:cs="Times New Roman"/>
        </w:rPr>
      </w:pPr>
      <w:r>
        <w:rPr>
          <w:rFonts w:ascii="Times New Roman" w:hAnsi="Times New Roman" w:cs="Times New Roman"/>
          <w:sz w:val="28"/>
          <w:lang w:val="en-US"/>
        </w:rPr>
        <w:drawing>
          <wp:inline distT="0" distB="0" distL="0" distR="0">
            <wp:extent cx="4107180" cy="68707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4107600" cy="687600"/>
                    </a:xfrm>
                    <a:prstGeom prst="rect">
                      <a:avLst/>
                    </a:prstGeom>
                    <a:noFill/>
                    <a:ln>
                      <a:noFill/>
                    </a:ln>
                  </pic:spPr>
                </pic:pic>
              </a:graphicData>
            </a:graphic>
          </wp:inline>
        </w:drawing>
      </w: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sz w:val="40"/>
        </w:rPr>
      </w:pPr>
    </w:p>
    <w:p>
      <w:pPr>
        <w:spacing w:line="600" w:lineRule="auto"/>
        <w:jc w:val="center"/>
        <w:rPr>
          <w:rFonts w:ascii="Times New Roman" w:hAnsi="Times New Roman" w:cs="Times New Roman"/>
          <w:sz w:val="40"/>
        </w:rPr>
      </w:pPr>
      <w:r>
        <w:rPr>
          <w:rFonts w:ascii="Times New Roman" w:hAnsi="Times New Roman" w:cs="Times New Roman"/>
          <w:sz w:val="40"/>
        </w:rPr>
        <w:t>人文与法律学院</w:t>
      </w:r>
    </w:p>
    <w:p>
      <w:pPr>
        <w:spacing w:line="600" w:lineRule="auto"/>
        <w:jc w:val="center"/>
        <w:rPr>
          <w:rFonts w:ascii="Times New Roman" w:hAnsi="Times New Roman" w:cs="Times New Roman"/>
          <w:sz w:val="48"/>
          <w:szCs w:val="48"/>
        </w:rPr>
      </w:pPr>
    </w:p>
    <w:p>
      <w:pPr>
        <w:spacing w:line="600" w:lineRule="auto"/>
        <w:jc w:val="center"/>
        <w:rPr>
          <w:rFonts w:ascii="Times New Roman" w:hAnsi="Times New Roman" w:cs="Times New Roman"/>
          <w:sz w:val="48"/>
          <w:szCs w:val="48"/>
        </w:rPr>
      </w:pPr>
      <w:r>
        <w:rPr>
          <w:rFonts w:ascii="Times New Roman" w:hAnsi="Times New Roman" w:cs="Times New Roman"/>
          <w:sz w:val="48"/>
          <w:szCs w:val="48"/>
        </w:rPr>
        <w:t>2020年公共管理类</w:t>
      </w:r>
    </w:p>
    <w:p>
      <w:pPr>
        <w:spacing w:line="600" w:lineRule="auto"/>
        <w:jc w:val="center"/>
        <w:rPr>
          <w:rFonts w:hint="eastAsia" w:ascii="Times New Roman" w:hAnsi="Times New Roman" w:cs="Times New Roman"/>
          <w:sz w:val="48"/>
          <w:szCs w:val="48"/>
          <w:lang w:val="en-US" w:eastAsia="zh-CN"/>
        </w:rPr>
      </w:pPr>
      <w:r>
        <w:rPr>
          <w:rFonts w:ascii="Times New Roman" w:hAnsi="Times New Roman" w:cs="Times New Roman"/>
          <w:sz w:val="48"/>
          <w:szCs w:val="48"/>
        </w:rPr>
        <w:t>本科生专业分流</w:t>
      </w:r>
      <w:r>
        <w:rPr>
          <w:rFonts w:hint="eastAsia" w:ascii="Times New Roman" w:hAnsi="Times New Roman" w:cs="Times New Roman"/>
          <w:sz w:val="48"/>
          <w:szCs w:val="48"/>
          <w:lang w:val="en-US" w:eastAsia="zh-CN"/>
        </w:rPr>
        <w:t>信息</w:t>
      </w:r>
    </w:p>
    <w:p>
      <w:pPr>
        <w:spacing w:line="600" w:lineRule="auto"/>
        <w:jc w:val="center"/>
        <w:rPr>
          <w:rFonts w:hint="eastAsia" w:ascii="Times New Roman" w:hAnsi="Times New Roman" w:cs="Times New Roman"/>
          <w:b/>
          <w:bCs/>
          <w:sz w:val="48"/>
          <w:szCs w:val="48"/>
          <w:lang w:val="en-US" w:eastAsia="zh-CN"/>
        </w:rPr>
      </w:pPr>
      <w:r>
        <w:rPr>
          <w:rFonts w:hint="eastAsia" w:ascii="Times New Roman" w:hAnsi="Times New Roman" w:cs="Times New Roman"/>
          <w:b/>
          <w:bCs/>
          <w:sz w:val="48"/>
          <w:szCs w:val="48"/>
          <w:lang w:val="en-US" w:eastAsia="zh-CN"/>
        </w:rPr>
        <w:t>一、专业介绍</w:t>
      </w:r>
    </w:p>
    <w:p>
      <w:pPr>
        <w:spacing w:line="600" w:lineRule="auto"/>
        <w:jc w:val="center"/>
        <w:rPr>
          <w:rFonts w:hint="eastAsia" w:ascii="Times New Roman" w:hAnsi="Times New Roman" w:cs="Times New Roman"/>
          <w:b/>
          <w:bCs/>
          <w:sz w:val="48"/>
          <w:szCs w:val="48"/>
          <w:lang w:val="en-US" w:eastAsia="zh-CN"/>
        </w:rPr>
      </w:pPr>
      <w:r>
        <w:rPr>
          <w:rFonts w:hint="eastAsia" w:ascii="Times New Roman" w:hAnsi="Times New Roman" w:cs="Times New Roman"/>
          <w:b/>
          <w:bCs/>
          <w:sz w:val="48"/>
          <w:szCs w:val="48"/>
          <w:lang w:val="en-US" w:eastAsia="zh-CN"/>
        </w:rPr>
        <w:t xml:space="preserve">    二、专业培养方案</w:t>
      </w:r>
    </w:p>
    <w:p>
      <w:pPr>
        <w:spacing w:line="600" w:lineRule="auto"/>
        <w:ind w:firstLine="2891" w:firstLineChars="600"/>
        <w:jc w:val="both"/>
        <w:rPr>
          <w:rFonts w:hint="default" w:ascii="Times New Roman" w:hAnsi="Times New Roman" w:cs="Times New Roman"/>
          <w:b/>
          <w:bCs/>
          <w:sz w:val="48"/>
          <w:szCs w:val="48"/>
          <w:lang w:val="en-US" w:eastAsia="zh-CN"/>
        </w:rPr>
      </w:pPr>
      <w:r>
        <w:rPr>
          <w:rFonts w:hint="eastAsia" w:ascii="Times New Roman" w:hAnsi="Times New Roman" w:cs="Times New Roman"/>
          <w:b/>
          <w:bCs/>
          <w:sz w:val="48"/>
          <w:szCs w:val="48"/>
          <w:lang w:val="en-US" w:eastAsia="zh-CN"/>
        </w:rPr>
        <w:t>三、实施办法</w:t>
      </w:r>
    </w:p>
    <w:p>
      <w:pPr>
        <w:spacing w:line="480" w:lineRule="auto"/>
        <w:jc w:val="center"/>
        <w:rPr>
          <w:rFonts w:ascii="Times New Roman" w:hAnsi="Times New Roman" w:cs="Times New Roman"/>
          <w:sz w:val="40"/>
        </w:rPr>
      </w:pPr>
    </w:p>
    <w:p>
      <w:pPr>
        <w:jc w:val="center"/>
        <w:rPr>
          <w:rFonts w:ascii="Times New Roman" w:hAnsi="Times New Roman" w:cs="Times New Roman"/>
          <w:sz w:val="40"/>
        </w:rPr>
      </w:pPr>
    </w:p>
    <w:p>
      <w:pPr>
        <w:jc w:val="center"/>
        <w:rPr>
          <w:rFonts w:ascii="Times New Roman" w:hAnsi="Times New Roman" w:cs="Times New Roman"/>
          <w:sz w:val="40"/>
        </w:rPr>
      </w:pPr>
    </w:p>
    <w:p>
      <w:pPr>
        <w:jc w:val="center"/>
        <w:rPr>
          <w:rFonts w:ascii="Times New Roman" w:hAnsi="Times New Roman" w:cs="Times New Roman"/>
          <w:sz w:val="40"/>
        </w:rPr>
      </w:pPr>
    </w:p>
    <w:p>
      <w:pPr>
        <w:jc w:val="center"/>
        <w:rPr>
          <w:rFonts w:ascii="Times New Roman" w:hAnsi="Times New Roman" w:cs="Times New Roman"/>
          <w:sz w:val="40"/>
        </w:rPr>
      </w:pPr>
    </w:p>
    <w:p>
      <w:pPr>
        <w:jc w:val="center"/>
        <w:rPr>
          <w:rFonts w:ascii="Times New Roman" w:hAnsi="Times New Roman" w:cs="Times New Roman"/>
          <w:sz w:val="40"/>
        </w:rPr>
      </w:pPr>
    </w:p>
    <w:p>
      <w:pPr>
        <w:jc w:val="center"/>
        <w:rPr>
          <w:rFonts w:ascii="Times New Roman" w:hAnsi="Times New Roman" w:cs="Times New Roman"/>
          <w:sz w:val="40"/>
        </w:rPr>
      </w:pPr>
    </w:p>
    <w:p>
      <w:pPr>
        <w:jc w:val="center"/>
        <w:rPr>
          <w:rFonts w:ascii="Times New Roman" w:hAnsi="Times New Roman" w:cs="Times New Roman"/>
          <w:sz w:val="40"/>
        </w:rPr>
      </w:pPr>
    </w:p>
    <w:p>
      <w:pPr>
        <w:jc w:val="center"/>
        <w:rPr>
          <w:rFonts w:ascii="Times New Roman" w:hAnsi="Times New Roman" w:cs="Times New Roman"/>
          <w:sz w:val="40"/>
        </w:rPr>
      </w:pPr>
    </w:p>
    <w:p>
      <w:pPr>
        <w:spacing w:line="600" w:lineRule="auto"/>
        <w:jc w:val="both"/>
        <w:rPr>
          <w:rFonts w:hint="eastAsia" w:ascii="Times New Roman" w:hAnsi="Times New Roman" w:cs="Times New Roman"/>
          <w:b/>
          <w:bCs/>
          <w:sz w:val="48"/>
          <w:szCs w:val="48"/>
          <w:lang w:val="en-US" w:eastAsia="zh-CN"/>
        </w:rPr>
      </w:pPr>
      <w:r>
        <w:rPr>
          <w:rFonts w:hint="eastAsia" w:ascii="Times New Roman" w:hAnsi="Times New Roman" w:cs="Times New Roman"/>
          <w:b/>
          <w:bCs/>
          <w:sz w:val="48"/>
          <w:szCs w:val="48"/>
          <w:lang w:val="en-US" w:eastAsia="zh-CN"/>
        </w:rPr>
        <w:t>一、专业介绍</w:t>
      </w:r>
    </w:p>
    <w:p>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根据2019劳动与社会保障专业本科生培养方案与2019公共事业管理专业本科生培养方案的课程设置，遵循《人文与法律学院本科生专业分流的实施办法》中的基本原则，建议 2020年公共管理类本科生专业分流采用Modul选择制办法。</w:t>
      </w:r>
    </w:p>
    <w:p>
      <w:pPr>
        <w:rPr>
          <w:rFonts w:ascii="Times New Roman" w:hAnsi="Times New Roman" w:cs="Times New Roman"/>
          <w:sz w:val="28"/>
          <w:szCs w:val="28"/>
        </w:rPr>
      </w:pPr>
      <w:r>
        <w:rPr>
          <w:rFonts w:ascii="Times New Roman" w:hAnsi="Times New Roman" w:cs="Times New Roman"/>
          <w:sz w:val="28"/>
          <w:szCs w:val="28"/>
        </w:rPr>
        <w:tab/>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5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696" w:type="dxa"/>
          </w:tcPr>
          <w:p>
            <w:pPr>
              <w:rPr>
                <w:rFonts w:ascii="Times New Roman" w:hAnsi="Times New Roman" w:cs="Times New Roman"/>
                <w:sz w:val="28"/>
                <w:szCs w:val="28"/>
              </w:rPr>
            </w:pPr>
            <w:r>
              <w:rPr>
                <w:rFonts w:ascii="Times New Roman" w:hAnsi="Times New Roman" w:cs="Times New Roman"/>
                <w:sz w:val="28"/>
                <w:szCs w:val="28"/>
              </w:rPr>
              <w:t>Modul 1</w:t>
            </w:r>
          </w:p>
        </w:tc>
        <w:tc>
          <w:tcPr>
            <w:tcW w:w="5670" w:type="dxa"/>
          </w:tcPr>
          <w:p>
            <w:pPr>
              <w:rPr>
                <w:rFonts w:ascii="Times New Roman" w:hAnsi="Times New Roman" w:cs="Times New Roman"/>
                <w:sz w:val="28"/>
                <w:szCs w:val="28"/>
              </w:rPr>
            </w:pPr>
            <w:r>
              <w:rPr>
                <w:rFonts w:ascii="Times New Roman" w:hAnsi="Times New Roman" w:cs="Times New Roman"/>
                <w:sz w:val="28"/>
                <w:szCs w:val="28"/>
              </w:rPr>
              <w:t>毕业后得到劳动与社会保障专业本科文凭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696" w:type="dxa"/>
          </w:tcPr>
          <w:p>
            <w:pPr>
              <w:rPr>
                <w:rFonts w:ascii="Times New Roman" w:hAnsi="Times New Roman" w:cs="Times New Roman"/>
                <w:sz w:val="28"/>
                <w:szCs w:val="28"/>
              </w:rPr>
            </w:pPr>
            <w:r>
              <w:rPr>
                <w:rFonts w:ascii="Times New Roman" w:hAnsi="Times New Roman" w:cs="Times New Roman"/>
                <w:sz w:val="28"/>
                <w:szCs w:val="28"/>
              </w:rPr>
              <w:t>Modul 2</w:t>
            </w:r>
          </w:p>
        </w:tc>
        <w:tc>
          <w:tcPr>
            <w:tcW w:w="5670" w:type="dxa"/>
          </w:tcPr>
          <w:p>
            <w:pPr>
              <w:rPr>
                <w:rFonts w:ascii="Times New Roman" w:hAnsi="Times New Roman" w:cs="Times New Roman"/>
                <w:sz w:val="28"/>
                <w:szCs w:val="28"/>
              </w:rPr>
            </w:pPr>
            <w:r>
              <w:rPr>
                <w:rFonts w:ascii="Times New Roman" w:hAnsi="Times New Roman" w:cs="Times New Roman"/>
                <w:sz w:val="28"/>
                <w:szCs w:val="28"/>
              </w:rPr>
              <w:t>毕业后得到劳动与社会保障专业本科文凭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1696" w:type="dxa"/>
          </w:tcPr>
          <w:p>
            <w:pPr>
              <w:rPr>
                <w:rFonts w:ascii="Times New Roman" w:hAnsi="Times New Roman" w:cs="Times New Roman"/>
                <w:sz w:val="28"/>
                <w:szCs w:val="28"/>
              </w:rPr>
            </w:pPr>
            <w:r>
              <w:rPr>
                <w:rFonts w:ascii="Times New Roman" w:hAnsi="Times New Roman" w:cs="Times New Roman"/>
                <w:sz w:val="28"/>
                <w:szCs w:val="28"/>
              </w:rPr>
              <w:t>Modul 3</w:t>
            </w:r>
          </w:p>
        </w:tc>
        <w:tc>
          <w:tcPr>
            <w:tcW w:w="5670" w:type="dxa"/>
          </w:tcPr>
          <w:p>
            <w:pPr>
              <w:rPr>
                <w:rFonts w:ascii="Times New Roman" w:hAnsi="Times New Roman" w:cs="Times New Roman"/>
                <w:sz w:val="28"/>
                <w:szCs w:val="28"/>
              </w:rPr>
            </w:pPr>
            <w:r>
              <w:rPr>
                <w:rFonts w:ascii="Times New Roman" w:hAnsi="Times New Roman" w:cs="Times New Roman"/>
                <w:sz w:val="28"/>
                <w:szCs w:val="28"/>
              </w:rPr>
              <w:t>毕业后得到公共事业管理专业本科文凭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696" w:type="dxa"/>
          </w:tcPr>
          <w:p>
            <w:pPr>
              <w:rPr>
                <w:rFonts w:ascii="Times New Roman" w:hAnsi="Times New Roman" w:cs="Times New Roman"/>
                <w:sz w:val="28"/>
                <w:szCs w:val="28"/>
              </w:rPr>
            </w:pPr>
            <w:r>
              <w:rPr>
                <w:rFonts w:ascii="Times New Roman" w:hAnsi="Times New Roman" w:cs="Times New Roman"/>
                <w:sz w:val="28"/>
                <w:szCs w:val="28"/>
              </w:rPr>
              <w:t>Modul 4</w:t>
            </w:r>
          </w:p>
        </w:tc>
        <w:tc>
          <w:tcPr>
            <w:tcW w:w="5670" w:type="dxa"/>
          </w:tcPr>
          <w:p>
            <w:pPr>
              <w:rPr>
                <w:rFonts w:ascii="Times New Roman" w:hAnsi="Times New Roman" w:cs="Times New Roman"/>
                <w:sz w:val="28"/>
                <w:szCs w:val="28"/>
              </w:rPr>
            </w:pPr>
            <w:r>
              <w:rPr>
                <w:rFonts w:ascii="Times New Roman" w:hAnsi="Times New Roman" w:cs="Times New Roman"/>
                <w:sz w:val="28"/>
                <w:szCs w:val="28"/>
              </w:rPr>
              <w:t>毕业后得到公共事业管理专业本科文凭</w:t>
            </w:r>
          </w:p>
        </w:tc>
      </w:tr>
    </w:tbl>
    <w:p>
      <w:pPr>
        <w:rPr>
          <w:rFonts w:ascii="Times New Roman" w:hAnsi="Times New Roman" w:cs="Times New Roman"/>
          <w:sz w:val="28"/>
          <w:szCs w:val="28"/>
        </w:rPr>
      </w:pPr>
    </w:p>
    <w:p>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Modul的设置完全符合两个专业培养方案的基本要求。</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5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shd w:val="clear" w:color="auto" w:fill="F4B083" w:themeFill="accent2" w:themeFillTint="99"/>
          </w:tcPr>
          <w:p>
            <w:pPr>
              <w:rPr>
                <w:rFonts w:ascii="Times New Roman" w:hAnsi="Times New Roman" w:cs="Times New Roman"/>
                <w:sz w:val="28"/>
                <w:szCs w:val="28"/>
              </w:rPr>
            </w:pPr>
          </w:p>
        </w:tc>
        <w:tc>
          <w:tcPr>
            <w:tcW w:w="5670" w:type="dxa"/>
          </w:tcPr>
          <w:p>
            <w:pPr>
              <w:rPr>
                <w:rFonts w:ascii="Times New Roman" w:hAnsi="Times New Roman" w:cs="Times New Roman"/>
                <w:sz w:val="28"/>
                <w:szCs w:val="28"/>
              </w:rPr>
            </w:pPr>
            <w:r>
              <w:rPr>
                <w:rFonts w:ascii="Times New Roman" w:hAnsi="Times New Roman" w:cs="Times New Roman"/>
                <w:sz w:val="28"/>
                <w:szCs w:val="28"/>
              </w:rPr>
              <w:t>公共课程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shd w:val="clear" w:color="auto" w:fill="AEAAAA" w:themeFill="background2" w:themeFillShade="BF"/>
          </w:tcPr>
          <w:p>
            <w:pPr>
              <w:rPr>
                <w:rFonts w:ascii="Times New Roman" w:hAnsi="Times New Roman" w:cs="Times New Roman"/>
                <w:sz w:val="28"/>
                <w:szCs w:val="28"/>
              </w:rPr>
            </w:pPr>
          </w:p>
        </w:tc>
        <w:tc>
          <w:tcPr>
            <w:tcW w:w="5670" w:type="dxa"/>
          </w:tcPr>
          <w:p>
            <w:pPr>
              <w:rPr>
                <w:rFonts w:ascii="Times New Roman" w:hAnsi="Times New Roman" w:cs="Times New Roman"/>
                <w:sz w:val="28"/>
                <w:szCs w:val="28"/>
              </w:rPr>
            </w:pPr>
            <w:r>
              <w:rPr>
                <w:rFonts w:ascii="Times New Roman" w:hAnsi="Times New Roman" w:cs="Times New Roman"/>
                <w:sz w:val="28"/>
                <w:szCs w:val="28"/>
              </w:rPr>
              <w:t>两个专业共有课程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shd w:val="clear" w:color="auto" w:fill="9CC2E5" w:themeFill="accent1" w:themeFillTint="99"/>
          </w:tcPr>
          <w:p>
            <w:pPr>
              <w:rPr>
                <w:rFonts w:ascii="Times New Roman" w:hAnsi="Times New Roman" w:cs="Times New Roman"/>
                <w:sz w:val="28"/>
                <w:szCs w:val="28"/>
              </w:rPr>
            </w:pPr>
          </w:p>
        </w:tc>
        <w:tc>
          <w:tcPr>
            <w:tcW w:w="5670" w:type="dxa"/>
          </w:tcPr>
          <w:p>
            <w:pPr>
              <w:rPr>
                <w:rFonts w:ascii="Times New Roman" w:hAnsi="Times New Roman" w:cs="Times New Roman"/>
                <w:sz w:val="28"/>
                <w:szCs w:val="28"/>
              </w:rPr>
            </w:pPr>
            <w:r>
              <w:rPr>
                <w:rFonts w:ascii="Times New Roman" w:hAnsi="Times New Roman" w:cs="Times New Roman"/>
                <w:sz w:val="28"/>
                <w:szCs w:val="28"/>
              </w:rPr>
              <w:t>劳动与社会保障课程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shd w:val="clear" w:color="auto" w:fill="92D050"/>
          </w:tcPr>
          <w:p>
            <w:pPr>
              <w:rPr>
                <w:rFonts w:ascii="Times New Roman" w:hAnsi="Times New Roman" w:cs="Times New Roman"/>
                <w:sz w:val="28"/>
                <w:szCs w:val="28"/>
              </w:rPr>
            </w:pPr>
          </w:p>
        </w:tc>
        <w:tc>
          <w:tcPr>
            <w:tcW w:w="5670" w:type="dxa"/>
          </w:tcPr>
          <w:p>
            <w:pPr>
              <w:rPr>
                <w:rFonts w:ascii="Times New Roman" w:hAnsi="Times New Roman" w:cs="Times New Roman"/>
                <w:sz w:val="28"/>
                <w:szCs w:val="28"/>
              </w:rPr>
            </w:pPr>
            <w:r>
              <w:rPr>
                <w:rFonts w:ascii="Times New Roman" w:hAnsi="Times New Roman" w:cs="Times New Roman"/>
                <w:sz w:val="28"/>
                <w:szCs w:val="28"/>
              </w:rPr>
              <w:t>公共事业管理课程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shd w:val="clear" w:color="auto" w:fill="FFFF00"/>
          </w:tcPr>
          <w:p>
            <w:pPr>
              <w:rPr>
                <w:rFonts w:ascii="Times New Roman" w:hAnsi="Times New Roman" w:cs="Times New Roman"/>
                <w:sz w:val="28"/>
                <w:szCs w:val="28"/>
              </w:rPr>
            </w:pPr>
          </w:p>
        </w:tc>
        <w:tc>
          <w:tcPr>
            <w:tcW w:w="5670" w:type="dxa"/>
          </w:tcPr>
          <w:p>
            <w:pPr>
              <w:rPr>
                <w:rFonts w:ascii="Times New Roman" w:hAnsi="Times New Roman" w:cs="Times New Roman"/>
                <w:sz w:val="28"/>
                <w:szCs w:val="28"/>
              </w:rPr>
            </w:pPr>
            <w:r>
              <w:rPr>
                <w:rFonts w:ascii="Times New Roman" w:hAnsi="Times New Roman" w:cs="Times New Roman"/>
                <w:sz w:val="28"/>
                <w:szCs w:val="28"/>
              </w:rPr>
              <w:t>不同Modul之间的差异</w:t>
            </w:r>
          </w:p>
        </w:tc>
      </w:tr>
    </w:tbl>
    <w:p>
      <w:pPr>
        <w:rPr>
          <w:rFonts w:ascii="Times New Roman" w:hAnsi="Times New Roman" w:cs="Times New Roman"/>
          <w:sz w:val="28"/>
          <w:szCs w:val="28"/>
        </w:rPr>
      </w:pPr>
    </w:p>
    <w:p>
      <w:pPr>
        <w:rPr>
          <w:rFonts w:ascii="Times New Roman" w:hAnsi="Times New Roman" w:cs="Times New Roman"/>
          <w:sz w:val="28"/>
          <w:szCs w:val="28"/>
        </w:rPr>
      </w:pPr>
    </w:p>
    <w:p>
      <w:pPr>
        <w:rPr>
          <w:rFonts w:ascii="Times New Roman" w:hAnsi="Times New Roman" w:cs="Times New Roman"/>
          <w:sz w:val="28"/>
          <w:szCs w:val="28"/>
        </w:rPr>
      </w:pPr>
    </w:p>
    <w:p>
      <w:pPr>
        <w:rPr>
          <w:rFonts w:ascii="Times New Roman" w:hAnsi="Times New Roman" w:cs="Times New Roman"/>
          <w:sz w:val="28"/>
          <w:szCs w:val="28"/>
        </w:rPr>
      </w:pPr>
    </w:p>
    <w:p>
      <w:pPr>
        <w:rPr>
          <w:rFonts w:ascii="Times New Roman" w:hAnsi="Times New Roman" w:cs="Times New Roman"/>
          <w:sz w:val="28"/>
          <w:szCs w:val="28"/>
        </w:rPr>
      </w:pPr>
    </w:p>
    <w:p>
      <w:pPr>
        <w:rPr>
          <w:rFonts w:ascii="Times New Roman" w:hAnsi="Times New Roman" w:cs="Times New Roman"/>
          <w:sz w:val="28"/>
          <w:szCs w:val="28"/>
        </w:rPr>
      </w:pPr>
    </w:p>
    <w:p>
      <w:pPr>
        <w:rPr>
          <w:rFonts w:ascii="Times New Roman" w:hAnsi="Times New Roman" w:cs="Times New Roman"/>
          <w:sz w:val="28"/>
          <w:szCs w:val="28"/>
        </w:rPr>
      </w:pPr>
      <w:r>
        <w:rPr>
          <w:rFonts w:ascii="Times New Roman" w:hAnsi="Times New Roman" w:cs="Times New Roman"/>
          <w:sz w:val="28"/>
          <w:szCs w:val="28"/>
        </w:rPr>
        <w:t>Modul 1</w:t>
      </w:r>
    </w:p>
    <w:tbl>
      <w:tblPr>
        <w:tblStyle w:val="6"/>
        <w:tblW w:w="9550" w:type="dxa"/>
        <w:tblInd w:w="-5" w:type="dxa"/>
        <w:tblLayout w:type="autofit"/>
        <w:tblCellMar>
          <w:top w:w="0" w:type="dxa"/>
          <w:left w:w="108" w:type="dxa"/>
          <w:bottom w:w="0" w:type="dxa"/>
          <w:right w:w="108" w:type="dxa"/>
        </w:tblCellMar>
      </w:tblPr>
      <w:tblGrid>
        <w:gridCol w:w="1276"/>
        <w:gridCol w:w="1276"/>
        <w:gridCol w:w="1134"/>
        <w:gridCol w:w="1134"/>
        <w:gridCol w:w="1417"/>
        <w:gridCol w:w="1560"/>
        <w:gridCol w:w="1099"/>
        <w:gridCol w:w="654"/>
      </w:tblGrid>
      <w:tr>
        <w:tblPrEx>
          <w:tblCellMar>
            <w:top w:w="0" w:type="dxa"/>
            <w:left w:w="108" w:type="dxa"/>
            <w:bottom w:w="0" w:type="dxa"/>
            <w:right w:w="108" w:type="dxa"/>
          </w:tblCellMar>
        </w:tblPrEx>
        <w:trPr>
          <w:trHeight w:val="271" w:hRule="atLeast"/>
        </w:trPr>
        <w:tc>
          <w:tcPr>
            <w:tcW w:w="2552"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一年级</w:t>
            </w:r>
          </w:p>
        </w:tc>
        <w:tc>
          <w:tcPr>
            <w:tcW w:w="2268"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二年级</w:t>
            </w:r>
          </w:p>
        </w:tc>
        <w:tc>
          <w:tcPr>
            <w:tcW w:w="2977"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三年级</w:t>
            </w:r>
          </w:p>
        </w:tc>
        <w:tc>
          <w:tcPr>
            <w:tcW w:w="1753"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四年级</w:t>
            </w:r>
          </w:p>
        </w:tc>
      </w:tr>
      <w:tr>
        <w:tblPrEx>
          <w:tblCellMar>
            <w:top w:w="0" w:type="dxa"/>
            <w:left w:w="108" w:type="dxa"/>
            <w:bottom w:w="0" w:type="dxa"/>
            <w:right w:w="108" w:type="dxa"/>
          </w:tblCellMar>
        </w:tblPrEx>
        <w:trPr>
          <w:trHeight w:val="271" w:hRule="atLeast"/>
        </w:trPr>
        <w:tc>
          <w:tcPr>
            <w:tcW w:w="1276"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学期1</w:t>
            </w:r>
          </w:p>
        </w:tc>
        <w:tc>
          <w:tcPr>
            <w:tcW w:w="1276"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学期2</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学期3</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学期4</w:t>
            </w:r>
          </w:p>
        </w:tc>
        <w:tc>
          <w:tcPr>
            <w:tcW w:w="1417"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学期5</w:t>
            </w:r>
          </w:p>
        </w:tc>
        <w:tc>
          <w:tcPr>
            <w:tcW w:w="1560"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学期6</w:t>
            </w:r>
          </w:p>
        </w:tc>
        <w:tc>
          <w:tcPr>
            <w:tcW w:w="1099"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学期7</w:t>
            </w:r>
          </w:p>
        </w:tc>
        <w:tc>
          <w:tcPr>
            <w:tcW w:w="654" w:type="dxa"/>
            <w:tcBorders>
              <w:top w:val="nil"/>
              <w:left w:val="nil"/>
              <w:bottom w:val="nil"/>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学期8</w:t>
            </w:r>
          </w:p>
        </w:tc>
      </w:tr>
      <w:tr>
        <w:tblPrEx>
          <w:tblCellMar>
            <w:top w:w="0" w:type="dxa"/>
            <w:left w:w="108" w:type="dxa"/>
            <w:bottom w:w="0" w:type="dxa"/>
            <w:right w:w="108" w:type="dxa"/>
          </w:tblCellMar>
        </w:tblPrEx>
        <w:trPr>
          <w:trHeight w:val="565" w:hRule="atLeast"/>
        </w:trPr>
        <w:tc>
          <w:tcPr>
            <w:tcW w:w="1276"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思想道德修养与法律基础</w:t>
            </w:r>
          </w:p>
        </w:tc>
        <w:tc>
          <w:tcPr>
            <w:tcW w:w="127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中国近代史</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纲要</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马克思主义原理</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7"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毛泽东思想和中国特色社会主义理论体系概论</w:t>
            </w:r>
          </w:p>
        </w:tc>
        <w:tc>
          <w:tcPr>
            <w:tcW w:w="1560"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毛泽东思想和中国特色社会主义理论体系概论</w:t>
            </w:r>
          </w:p>
        </w:tc>
        <w:tc>
          <w:tcPr>
            <w:tcW w:w="1099" w:type="dxa"/>
            <w:tcBorders>
              <w:top w:val="nil"/>
              <w:left w:val="nil"/>
              <w:bottom w:val="single" w:color="auto" w:sz="4" w:space="0"/>
              <w:right w:val="nil"/>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毕业实习</w:t>
            </w:r>
          </w:p>
        </w:tc>
        <w:tc>
          <w:tcPr>
            <w:tcW w:w="654" w:type="dxa"/>
            <w:tcBorders>
              <w:top w:val="single" w:color="auto" w:sz="4" w:space="0"/>
              <w:left w:val="single" w:color="auto" w:sz="4" w:space="0"/>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毕业设计</w:t>
            </w:r>
          </w:p>
        </w:tc>
      </w:tr>
      <w:tr>
        <w:tblPrEx>
          <w:tblCellMar>
            <w:top w:w="0" w:type="dxa"/>
            <w:left w:w="108" w:type="dxa"/>
            <w:bottom w:w="0" w:type="dxa"/>
            <w:right w:w="108" w:type="dxa"/>
          </w:tblCellMar>
        </w:tblPrEx>
        <w:trPr>
          <w:trHeight w:val="384" w:hRule="atLeast"/>
        </w:trPr>
        <w:tc>
          <w:tcPr>
            <w:tcW w:w="1276"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高等数学</w:t>
            </w:r>
          </w:p>
        </w:tc>
        <w:tc>
          <w:tcPr>
            <w:tcW w:w="127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线性代数</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概率论与</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数理统计</w:t>
            </w:r>
          </w:p>
        </w:tc>
        <w:tc>
          <w:tcPr>
            <w:tcW w:w="1417"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560"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099" w:type="dxa"/>
            <w:tcBorders>
              <w:top w:val="nil"/>
              <w:left w:val="nil"/>
              <w:bottom w:val="single" w:color="auto" w:sz="4" w:space="0"/>
              <w:right w:val="nil"/>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654" w:type="dxa"/>
            <w:tcBorders>
              <w:top w:val="nil"/>
              <w:left w:val="single" w:color="auto" w:sz="4" w:space="0"/>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　</w:t>
            </w:r>
          </w:p>
        </w:tc>
      </w:tr>
      <w:tr>
        <w:tblPrEx>
          <w:tblCellMar>
            <w:top w:w="0" w:type="dxa"/>
            <w:left w:w="108" w:type="dxa"/>
            <w:bottom w:w="0" w:type="dxa"/>
            <w:right w:w="108" w:type="dxa"/>
          </w:tblCellMar>
        </w:tblPrEx>
        <w:trPr>
          <w:trHeight w:val="384" w:hRule="atLeast"/>
        </w:trPr>
        <w:tc>
          <w:tcPr>
            <w:tcW w:w="1276"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大学计算机</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基础</w:t>
            </w:r>
          </w:p>
        </w:tc>
        <w:tc>
          <w:tcPr>
            <w:tcW w:w="127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办公数据</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处理与分析</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7"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560"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099" w:type="dxa"/>
            <w:tcBorders>
              <w:top w:val="nil"/>
              <w:left w:val="nil"/>
              <w:bottom w:val="single" w:color="auto" w:sz="4" w:space="0"/>
              <w:right w:val="nil"/>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654" w:type="dxa"/>
            <w:tcBorders>
              <w:top w:val="nil"/>
              <w:left w:val="single" w:color="auto" w:sz="4" w:space="0"/>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　</w:t>
            </w:r>
          </w:p>
        </w:tc>
      </w:tr>
      <w:tr>
        <w:tblPrEx>
          <w:tblCellMar>
            <w:top w:w="0" w:type="dxa"/>
            <w:left w:w="108" w:type="dxa"/>
            <w:bottom w:w="0" w:type="dxa"/>
            <w:right w:w="108" w:type="dxa"/>
          </w:tblCellMar>
        </w:tblPrEx>
        <w:trPr>
          <w:trHeight w:val="271" w:hRule="atLeast"/>
        </w:trPr>
        <w:tc>
          <w:tcPr>
            <w:tcW w:w="1276"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政治学</w:t>
            </w:r>
          </w:p>
        </w:tc>
        <w:tc>
          <w:tcPr>
            <w:tcW w:w="127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7"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560"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099" w:type="dxa"/>
            <w:tcBorders>
              <w:top w:val="nil"/>
              <w:left w:val="nil"/>
              <w:bottom w:val="single" w:color="auto" w:sz="4" w:space="0"/>
              <w:right w:val="nil"/>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654" w:type="dxa"/>
            <w:tcBorders>
              <w:top w:val="nil"/>
              <w:left w:val="single" w:color="auto" w:sz="4" w:space="0"/>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　</w:t>
            </w:r>
          </w:p>
        </w:tc>
      </w:tr>
      <w:tr>
        <w:tblPrEx>
          <w:tblCellMar>
            <w:top w:w="0" w:type="dxa"/>
            <w:left w:w="108" w:type="dxa"/>
            <w:bottom w:w="0" w:type="dxa"/>
            <w:right w:w="108" w:type="dxa"/>
          </w:tblCellMar>
        </w:tblPrEx>
        <w:trPr>
          <w:trHeight w:val="271" w:hRule="atLeast"/>
        </w:trPr>
        <w:tc>
          <w:tcPr>
            <w:tcW w:w="1276"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形势政治A</w:t>
            </w:r>
          </w:p>
        </w:tc>
        <w:tc>
          <w:tcPr>
            <w:tcW w:w="127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形势政治B</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7"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形势政治C</w:t>
            </w:r>
          </w:p>
        </w:tc>
        <w:tc>
          <w:tcPr>
            <w:tcW w:w="1560"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099" w:type="dxa"/>
            <w:tcBorders>
              <w:top w:val="nil"/>
              <w:left w:val="nil"/>
              <w:bottom w:val="single" w:color="auto" w:sz="4" w:space="0"/>
              <w:right w:val="nil"/>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形势政治D</w:t>
            </w:r>
          </w:p>
        </w:tc>
        <w:tc>
          <w:tcPr>
            <w:tcW w:w="654" w:type="dxa"/>
            <w:tcBorders>
              <w:top w:val="nil"/>
              <w:left w:val="single" w:color="auto" w:sz="4" w:space="0"/>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　</w:t>
            </w:r>
          </w:p>
        </w:tc>
      </w:tr>
      <w:tr>
        <w:tblPrEx>
          <w:tblCellMar>
            <w:top w:w="0" w:type="dxa"/>
            <w:left w:w="108" w:type="dxa"/>
            <w:bottom w:w="0" w:type="dxa"/>
            <w:right w:w="108" w:type="dxa"/>
          </w:tblCellMar>
        </w:tblPrEx>
        <w:trPr>
          <w:trHeight w:val="542" w:hRule="atLeast"/>
        </w:trPr>
        <w:tc>
          <w:tcPr>
            <w:tcW w:w="1276"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大学英语</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基础A</w:t>
            </w:r>
          </w:p>
        </w:tc>
        <w:tc>
          <w:tcPr>
            <w:tcW w:w="127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大学英语</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基础B</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大学英语</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拓展B</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大学英语</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拓展A</w:t>
            </w:r>
          </w:p>
        </w:tc>
        <w:tc>
          <w:tcPr>
            <w:tcW w:w="1417"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560"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099" w:type="dxa"/>
            <w:tcBorders>
              <w:top w:val="nil"/>
              <w:left w:val="nil"/>
              <w:bottom w:val="single" w:color="auto" w:sz="4" w:space="0"/>
              <w:right w:val="nil"/>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654" w:type="dxa"/>
            <w:tcBorders>
              <w:top w:val="nil"/>
              <w:left w:val="single" w:color="auto" w:sz="4" w:space="0"/>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　</w:t>
            </w:r>
          </w:p>
        </w:tc>
      </w:tr>
      <w:tr>
        <w:tblPrEx>
          <w:tblCellMar>
            <w:top w:w="0" w:type="dxa"/>
            <w:left w:w="108" w:type="dxa"/>
            <w:bottom w:w="0" w:type="dxa"/>
            <w:right w:w="108" w:type="dxa"/>
          </w:tblCellMar>
        </w:tblPrEx>
        <w:trPr>
          <w:trHeight w:val="271" w:hRule="atLeast"/>
        </w:trPr>
        <w:tc>
          <w:tcPr>
            <w:tcW w:w="1276"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军事理论</w:t>
            </w:r>
          </w:p>
        </w:tc>
        <w:tc>
          <w:tcPr>
            <w:tcW w:w="127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军事理论</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7"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560"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099" w:type="dxa"/>
            <w:tcBorders>
              <w:top w:val="nil"/>
              <w:left w:val="nil"/>
              <w:bottom w:val="single" w:color="auto" w:sz="4" w:space="0"/>
              <w:right w:val="nil"/>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654" w:type="dxa"/>
            <w:tcBorders>
              <w:top w:val="nil"/>
              <w:left w:val="single" w:color="auto" w:sz="4" w:space="0"/>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　</w:t>
            </w:r>
          </w:p>
        </w:tc>
      </w:tr>
      <w:tr>
        <w:tblPrEx>
          <w:tblCellMar>
            <w:top w:w="0" w:type="dxa"/>
            <w:left w:w="108" w:type="dxa"/>
            <w:bottom w:w="0" w:type="dxa"/>
            <w:right w:w="108" w:type="dxa"/>
          </w:tblCellMar>
        </w:tblPrEx>
        <w:trPr>
          <w:trHeight w:val="271" w:hRule="atLeast"/>
        </w:trPr>
        <w:tc>
          <w:tcPr>
            <w:tcW w:w="1276"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大学语文A</w:t>
            </w:r>
          </w:p>
        </w:tc>
        <w:tc>
          <w:tcPr>
            <w:tcW w:w="127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大学语文B</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7"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560"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099" w:type="dxa"/>
            <w:tcBorders>
              <w:top w:val="nil"/>
              <w:left w:val="nil"/>
              <w:bottom w:val="single" w:color="auto" w:sz="4" w:space="0"/>
              <w:right w:val="nil"/>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654" w:type="dxa"/>
            <w:tcBorders>
              <w:top w:val="nil"/>
              <w:left w:val="single" w:color="auto" w:sz="4" w:space="0"/>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　</w:t>
            </w:r>
          </w:p>
        </w:tc>
      </w:tr>
      <w:tr>
        <w:tblPrEx>
          <w:tblCellMar>
            <w:top w:w="0" w:type="dxa"/>
            <w:left w:w="108" w:type="dxa"/>
            <w:bottom w:w="0" w:type="dxa"/>
            <w:right w:w="108" w:type="dxa"/>
          </w:tblCellMar>
        </w:tblPrEx>
        <w:trPr>
          <w:trHeight w:val="271" w:hRule="atLeast"/>
        </w:trPr>
        <w:tc>
          <w:tcPr>
            <w:tcW w:w="1276"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体育</w:t>
            </w:r>
          </w:p>
        </w:tc>
        <w:tc>
          <w:tcPr>
            <w:tcW w:w="127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体育</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体育</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体育</w:t>
            </w:r>
          </w:p>
        </w:tc>
        <w:tc>
          <w:tcPr>
            <w:tcW w:w="1417"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560"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099" w:type="dxa"/>
            <w:tcBorders>
              <w:top w:val="nil"/>
              <w:left w:val="nil"/>
              <w:bottom w:val="single" w:color="auto" w:sz="4" w:space="0"/>
              <w:right w:val="nil"/>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654" w:type="dxa"/>
            <w:tcBorders>
              <w:top w:val="nil"/>
              <w:left w:val="single" w:color="auto" w:sz="4" w:space="0"/>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　</w:t>
            </w:r>
          </w:p>
        </w:tc>
      </w:tr>
      <w:tr>
        <w:tblPrEx>
          <w:tblCellMar>
            <w:top w:w="0" w:type="dxa"/>
            <w:left w:w="108" w:type="dxa"/>
            <w:bottom w:w="0" w:type="dxa"/>
            <w:right w:w="108" w:type="dxa"/>
          </w:tblCellMar>
        </w:tblPrEx>
        <w:trPr>
          <w:trHeight w:val="271" w:hRule="atLeast"/>
        </w:trPr>
        <w:tc>
          <w:tcPr>
            <w:tcW w:w="1276"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76"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社会统计学</w:t>
            </w:r>
          </w:p>
        </w:tc>
        <w:tc>
          <w:tcPr>
            <w:tcW w:w="1134"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社会调查</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方法</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7"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560"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099" w:type="dxa"/>
            <w:tcBorders>
              <w:top w:val="nil"/>
              <w:left w:val="nil"/>
              <w:bottom w:val="single" w:color="auto" w:sz="4" w:space="0"/>
              <w:right w:val="nil"/>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电子政务</w:t>
            </w:r>
          </w:p>
        </w:tc>
        <w:tc>
          <w:tcPr>
            <w:tcW w:w="654" w:type="dxa"/>
            <w:tcBorders>
              <w:top w:val="nil"/>
              <w:left w:val="single" w:color="auto" w:sz="4" w:space="0"/>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　</w:t>
            </w:r>
          </w:p>
        </w:tc>
      </w:tr>
      <w:tr>
        <w:tblPrEx>
          <w:tblCellMar>
            <w:top w:w="0" w:type="dxa"/>
            <w:left w:w="108" w:type="dxa"/>
            <w:bottom w:w="0" w:type="dxa"/>
            <w:right w:w="108" w:type="dxa"/>
          </w:tblCellMar>
        </w:tblPrEx>
        <w:trPr>
          <w:trHeight w:val="271" w:hRule="atLeast"/>
        </w:trPr>
        <w:tc>
          <w:tcPr>
            <w:tcW w:w="1276"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76"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社会学</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7"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560"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社会心理学导论</w:t>
            </w:r>
          </w:p>
        </w:tc>
        <w:tc>
          <w:tcPr>
            <w:tcW w:w="1099" w:type="dxa"/>
            <w:tcBorders>
              <w:top w:val="nil"/>
              <w:left w:val="nil"/>
              <w:bottom w:val="single" w:color="auto" w:sz="4" w:space="0"/>
              <w:right w:val="nil"/>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654" w:type="dxa"/>
            <w:tcBorders>
              <w:top w:val="nil"/>
              <w:left w:val="single" w:color="auto" w:sz="4" w:space="0"/>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　</w:t>
            </w:r>
          </w:p>
        </w:tc>
      </w:tr>
      <w:tr>
        <w:tblPrEx>
          <w:tblCellMar>
            <w:top w:w="0" w:type="dxa"/>
            <w:left w:w="108" w:type="dxa"/>
            <w:bottom w:w="0" w:type="dxa"/>
            <w:right w:w="108" w:type="dxa"/>
          </w:tblCellMar>
        </w:tblPrEx>
        <w:trPr>
          <w:trHeight w:val="271" w:hRule="atLeast"/>
        </w:trPr>
        <w:tc>
          <w:tcPr>
            <w:tcW w:w="1276"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76"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经济学原理</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7"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560"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劳动经济学</w:t>
            </w:r>
          </w:p>
        </w:tc>
        <w:tc>
          <w:tcPr>
            <w:tcW w:w="1099" w:type="dxa"/>
            <w:tcBorders>
              <w:top w:val="nil"/>
              <w:left w:val="nil"/>
              <w:bottom w:val="single" w:color="auto" w:sz="4" w:space="0"/>
              <w:right w:val="nil"/>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发展经济学</w:t>
            </w:r>
          </w:p>
        </w:tc>
        <w:tc>
          <w:tcPr>
            <w:tcW w:w="654" w:type="dxa"/>
            <w:tcBorders>
              <w:top w:val="nil"/>
              <w:left w:val="single" w:color="auto" w:sz="4" w:space="0"/>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　</w:t>
            </w:r>
          </w:p>
        </w:tc>
      </w:tr>
      <w:tr>
        <w:tblPrEx>
          <w:tblCellMar>
            <w:top w:w="0" w:type="dxa"/>
            <w:left w:w="108" w:type="dxa"/>
            <w:bottom w:w="0" w:type="dxa"/>
            <w:right w:w="108" w:type="dxa"/>
          </w:tblCellMar>
        </w:tblPrEx>
        <w:trPr>
          <w:trHeight w:val="271" w:hRule="atLeast"/>
        </w:trPr>
        <w:tc>
          <w:tcPr>
            <w:tcW w:w="1276"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76"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人力资源</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管理</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7"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绩效管理</w:t>
            </w:r>
          </w:p>
        </w:tc>
        <w:tc>
          <w:tcPr>
            <w:tcW w:w="1560"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公务员制度</w:t>
            </w:r>
          </w:p>
        </w:tc>
        <w:tc>
          <w:tcPr>
            <w:tcW w:w="1099" w:type="dxa"/>
            <w:tcBorders>
              <w:top w:val="nil"/>
              <w:left w:val="nil"/>
              <w:bottom w:val="single" w:color="auto" w:sz="4" w:space="0"/>
              <w:right w:val="nil"/>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薪酬管理</w:t>
            </w:r>
          </w:p>
        </w:tc>
        <w:tc>
          <w:tcPr>
            <w:tcW w:w="654" w:type="dxa"/>
            <w:tcBorders>
              <w:top w:val="nil"/>
              <w:left w:val="single" w:color="auto" w:sz="4" w:space="0"/>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　</w:t>
            </w:r>
          </w:p>
        </w:tc>
      </w:tr>
      <w:tr>
        <w:tblPrEx>
          <w:tblCellMar>
            <w:top w:w="0" w:type="dxa"/>
            <w:left w:w="108" w:type="dxa"/>
            <w:bottom w:w="0" w:type="dxa"/>
            <w:right w:w="108" w:type="dxa"/>
          </w:tblCellMar>
        </w:tblPrEx>
        <w:trPr>
          <w:trHeight w:val="384" w:hRule="atLeast"/>
        </w:trPr>
        <w:tc>
          <w:tcPr>
            <w:tcW w:w="1276"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76"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FFFF0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公共关系学(学期不同)</w:t>
            </w:r>
          </w:p>
        </w:tc>
        <w:tc>
          <w:tcPr>
            <w:tcW w:w="1417" w:type="dxa"/>
            <w:tcBorders>
              <w:top w:val="nil"/>
              <w:left w:val="nil"/>
              <w:bottom w:val="single" w:color="auto" w:sz="4" w:space="0"/>
              <w:right w:val="single" w:color="auto" w:sz="4" w:space="0"/>
            </w:tcBorders>
            <w:shd w:val="clear" w:color="000000" w:fill="FFFF0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项目管理</w:t>
            </w:r>
          </w:p>
        </w:tc>
        <w:tc>
          <w:tcPr>
            <w:tcW w:w="1560"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099" w:type="dxa"/>
            <w:tcBorders>
              <w:top w:val="nil"/>
              <w:left w:val="nil"/>
              <w:bottom w:val="single" w:color="auto" w:sz="4" w:space="0"/>
              <w:right w:val="nil"/>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654" w:type="dxa"/>
            <w:tcBorders>
              <w:top w:val="nil"/>
              <w:left w:val="single" w:color="auto" w:sz="4" w:space="0"/>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　</w:t>
            </w:r>
          </w:p>
        </w:tc>
      </w:tr>
      <w:tr>
        <w:tblPrEx>
          <w:tblCellMar>
            <w:top w:w="0" w:type="dxa"/>
            <w:left w:w="108" w:type="dxa"/>
            <w:bottom w:w="0" w:type="dxa"/>
            <w:right w:w="108" w:type="dxa"/>
          </w:tblCellMar>
        </w:tblPrEx>
        <w:trPr>
          <w:trHeight w:val="271" w:hRule="atLeast"/>
        </w:trPr>
        <w:tc>
          <w:tcPr>
            <w:tcW w:w="1276" w:type="dxa"/>
            <w:tcBorders>
              <w:top w:val="nil"/>
              <w:left w:val="single" w:color="auto" w:sz="4" w:space="0"/>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管理学</w:t>
            </w:r>
          </w:p>
        </w:tc>
        <w:tc>
          <w:tcPr>
            <w:tcW w:w="1276"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公共管理学</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7"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560"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公共政策分析</w:t>
            </w:r>
          </w:p>
        </w:tc>
        <w:tc>
          <w:tcPr>
            <w:tcW w:w="1099" w:type="dxa"/>
            <w:tcBorders>
              <w:top w:val="nil"/>
              <w:left w:val="nil"/>
              <w:bottom w:val="single" w:color="auto" w:sz="4" w:space="0"/>
              <w:right w:val="nil"/>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654" w:type="dxa"/>
            <w:tcBorders>
              <w:top w:val="nil"/>
              <w:left w:val="single" w:color="auto" w:sz="4" w:space="0"/>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　</w:t>
            </w:r>
          </w:p>
        </w:tc>
      </w:tr>
      <w:tr>
        <w:tblPrEx>
          <w:tblCellMar>
            <w:top w:w="0" w:type="dxa"/>
            <w:left w:w="108" w:type="dxa"/>
            <w:bottom w:w="0" w:type="dxa"/>
            <w:right w:w="108" w:type="dxa"/>
          </w:tblCellMar>
        </w:tblPrEx>
        <w:trPr>
          <w:trHeight w:val="271" w:hRule="atLeast"/>
        </w:trPr>
        <w:tc>
          <w:tcPr>
            <w:tcW w:w="1276"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76"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创业基础</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7" w:type="dxa"/>
            <w:tcBorders>
              <w:top w:val="nil"/>
              <w:left w:val="nil"/>
              <w:bottom w:val="single" w:color="auto" w:sz="4" w:space="0"/>
              <w:right w:val="single" w:color="auto" w:sz="4" w:space="0"/>
            </w:tcBorders>
            <w:shd w:val="clear" w:color="000000" w:fill="FFFF0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财务管理学</w:t>
            </w:r>
          </w:p>
        </w:tc>
        <w:tc>
          <w:tcPr>
            <w:tcW w:w="1560"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099" w:type="dxa"/>
            <w:tcBorders>
              <w:top w:val="nil"/>
              <w:left w:val="nil"/>
              <w:bottom w:val="single" w:color="auto" w:sz="4" w:space="0"/>
              <w:right w:val="nil"/>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654" w:type="dxa"/>
            <w:tcBorders>
              <w:top w:val="nil"/>
              <w:left w:val="single" w:color="auto" w:sz="4" w:space="0"/>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　</w:t>
            </w:r>
          </w:p>
        </w:tc>
      </w:tr>
      <w:tr>
        <w:tblPrEx>
          <w:tblCellMar>
            <w:top w:w="0" w:type="dxa"/>
            <w:left w:w="108" w:type="dxa"/>
            <w:bottom w:w="0" w:type="dxa"/>
            <w:right w:w="108" w:type="dxa"/>
          </w:tblCellMar>
        </w:tblPrEx>
        <w:trPr>
          <w:trHeight w:val="440" w:hRule="atLeast"/>
        </w:trPr>
        <w:tc>
          <w:tcPr>
            <w:tcW w:w="1276"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76"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社会保障</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概论</w:t>
            </w:r>
          </w:p>
        </w:tc>
        <w:tc>
          <w:tcPr>
            <w:tcW w:w="1134"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职业生涯</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管理</w:t>
            </w:r>
          </w:p>
        </w:tc>
        <w:tc>
          <w:tcPr>
            <w:tcW w:w="1417"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组织行为学</w:t>
            </w:r>
          </w:p>
        </w:tc>
        <w:tc>
          <w:tcPr>
            <w:tcW w:w="1560"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099" w:type="dxa"/>
            <w:tcBorders>
              <w:top w:val="nil"/>
              <w:left w:val="nil"/>
              <w:bottom w:val="single" w:color="auto" w:sz="4" w:space="0"/>
              <w:right w:val="nil"/>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专业外语</w:t>
            </w:r>
          </w:p>
        </w:tc>
        <w:tc>
          <w:tcPr>
            <w:tcW w:w="654" w:type="dxa"/>
            <w:tcBorders>
              <w:top w:val="nil"/>
              <w:left w:val="single" w:color="auto" w:sz="4" w:space="0"/>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　</w:t>
            </w:r>
          </w:p>
        </w:tc>
      </w:tr>
      <w:tr>
        <w:tblPrEx>
          <w:tblCellMar>
            <w:top w:w="0" w:type="dxa"/>
            <w:left w:w="108" w:type="dxa"/>
            <w:bottom w:w="0" w:type="dxa"/>
            <w:right w:w="108" w:type="dxa"/>
          </w:tblCellMar>
        </w:tblPrEx>
        <w:trPr>
          <w:trHeight w:val="384" w:hRule="atLeast"/>
        </w:trPr>
        <w:tc>
          <w:tcPr>
            <w:tcW w:w="1276"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76"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劳动关系学</w:t>
            </w:r>
          </w:p>
        </w:tc>
        <w:tc>
          <w:tcPr>
            <w:tcW w:w="1417"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行政法与</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行政诉讼</w:t>
            </w:r>
          </w:p>
        </w:tc>
        <w:tc>
          <w:tcPr>
            <w:tcW w:w="1560"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099" w:type="dxa"/>
            <w:tcBorders>
              <w:top w:val="nil"/>
              <w:left w:val="nil"/>
              <w:bottom w:val="single" w:color="auto" w:sz="4" w:space="0"/>
              <w:right w:val="nil"/>
            </w:tcBorders>
            <w:shd w:val="clear" w:color="auto" w:fill="auto"/>
            <w:noWrap/>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654" w:type="dxa"/>
            <w:tcBorders>
              <w:top w:val="nil"/>
              <w:left w:val="single" w:color="auto" w:sz="4" w:space="0"/>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　</w:t>
            </w:r>
          </w:p>
        </w:tc>
      </w:tr>
      <w:tr>
        <w:tblPrEx>
          <w:tblCellMar>
            <w:top w:w="0" w:type="dxa"/>
            <w:left w:w="108" w:type="dxa"/>
            <w:bottom w:w="0" w:type="dxa"/>
            <w:right w:w="108" w:type="dxa"/>
          </w:tblCellMar>
        </w:tblPrEx>
        <w:trPr>
          <w:trHeight w:val="384" w:hRule="atLeast"/>
        </w:trPr>
        <w:tc>
          <w:tcPr>
            <w:tcW w:w="1276"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76"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会计学</w:t>
            </w:r>
          </w:p>
        </w:tc>
        <w:tc>
          <w:tcPr>
            <w:tcW w:w="1417"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社会保障</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基金管理</w:t>
            </w:r>
          </w:p>
        </w:tc>
        <w:tc>
          <w:tcPr>
            <w:tcW w:w="1560"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审计学</w:t>
            </w:r>
          </w:p>
        </w:tc>
        <w:tc>
          <w:tcPr>
            <w:tcW w:w="1099" w:type="dxa"/>
            <w:tcBorders>
              <w:top w:val="nil"/>
              <w:left w:val="nil"/>
              <w:bottom w:val="single" w:color="auto" w:sz="4" w:space="0"/>
              <w:right w:val="nil"/>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654" w:type="dxa"/>
            <w:tcBorders>
              <w:top w:val="nil"/>
              <w:left w:val="single" w:color="auto" w:sz="4" w:space="0"/>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　</w:t>
            </w:r>
          </w:p>
        </w:tc>
      </w:tr>
      <w:tr>
        <w:tblPrEx>
          <w:tblCellMar>
            <w:top w:w="0" w:type="dxa"/>
            <w:left w:w="108" w:type="dxa"/>
            <w:bottom w:w="0" w:type="dxa"/>
            <w:right w:w="108" w:type="dxa"/>
          </w:tblCellMar>
        </w:tblPrEx>
        <w:trPr>
          <w:trHeight w:val="384" w:hRule="atLeast"/>
        </w:trPr>
        <w:tc>
          <w:tcPr>
            <w:tcW w:w="1276"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76"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社会福利</w:t>
            </w:r>
          </w:p>
        </w:tc>
        <w:tc>
          <w:tcPr>
            <w:tcW w:w="1417"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社会保障</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政策评估</w:t>
            </w:r>
          </w:p>
        </w:tc>
        <w:tc>
          <w:tcPr>
            <w:tcW w:w="1560"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社会保障国际比较</w:t>
            </w:r>
          </w:p>
        </w:tc>
        <w:tc>
          <w:tcPr>
            <w:tcW w:w="1099" w:type="dxa"/>
            <w:tcBorders>
              <w:top w:val="nil"/>
              <w:left w:val="nil"/>
              <w:bottom w:val="single" w:color="auto" w:sz="4" w:space="0"/>
              <w:right w:val="nil"/>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654" w:type="dxa"/>
            <w:tcBorders>
              <w:top w:val="nil"/>
              <w:left w:val="single" w:color="auto" w:sz="4" w:space="0"/>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　</w:t>
            </w:r>
          </w:p>
        </w:tc>
      </w:tr>
      <w:tr>
        <w:tblPrEx>
          <w:tblCellMar>
            <w:top w:w="0" w:type="dxa"/>
            <w:left w:w="108" w:type="dxa"/>
            <w:bottom w:w="0" w:type="dxa"/>
            <w:right w:w="108" w:type="dxa"/>
          </w:tblCellMar>
        </w:tblPrEx>
        <w:trPr>
          <w:trHeight w:val="384" w:hRule="atLeast"/>
        </w:trPr>
        <w:tc>
          <w:tcPr>
            <w:tcW w:w="1276"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76"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社会政策</w:t>
            </w:r>
          </w:p>
        </w:tc>
        <w:tc>
          <w:tcPr>
            <w:tcW w:w="1417"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保险原理</w:t>
            </w:r>
          </w:p>
        </w:tc>
        <w:tc>
          <w:tcPr>
            <w:tcW w:w="1560"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社会保障理论前沿</w:t>
            </w:r>
          </w:p>
        </w:tc>
        <w:tc>
          <w:tcPr>
            <w:tcW w:w="1099" w:type="dxa"/>
            <w:tcBorders>
              <w:top w:val="nil"/>
              <w:left w:val="nil"/>
              <w:bottom w:val="single" w:color="auto" w:sz="4" w:space="0"/>
              <w:right w:val="nil"/>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654" w:type="dxa"/>
            <w:tcBorders>
              <w:top w:val="nil"/>
              <w:left w:val="single" w:color="auto" w:sz="4" w:space="0"/>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　</w:t>
            </w:r>
          </w:p>
        </w:tc>
      </w:tr>
      <w:tr>
        <w:tblPrEx>
          <w:tblCellMar>
            <w:top w:w="0" w:type="dxa"/>
            <w:left w:w="108" w:type="dxa"/>
            <w:bottom w:w="0" w:type="dxa"/>
            <w:right w:w="108" w:type="dxa"/>
          </w:tblCellMar>
        </w:tblPrEx>
        <w:trPr>
          <w:trHeight w:val="271" w:hRule="atLeast"/>
        </w:trPr>
        <w:tc>
          <w:tcPr>
            <w:tcW w:w="1276" w:type="dxa"/>
            <w:tcBorders>
              <w:top w:val="nil"/>
              <w:left w:val="single" w:color="auto" w:sz="4" w:space="0"/>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心理健康</w:t>
            </w:r>
          </w:p>
        </w:tc>
        <w:tc>
          <w:tcPr>
            <w:tcW w:w="1276"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心理健康</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金融学</w:t>
            </w:r>
          </w:p>
        </w:tc>
        <w:tc>
          <w:tcPr>
            <w:tcW w:w="1417"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老龄政策分析</w:t>
            </w:r>
          </w:p>
        </w:tc>
        <w:tc>
          <w:tcPr>
            <w:tcW w:w="1560"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社会保险</w:t>
            </w:r>
          </w:p>
        </w:tc>
        <w:tc>
          <w:tcPr>
            <w:tcW w:w="1099" w:type="dxa"/>
            <w:tcBorders>
              <w:top w:val="nil"/>
              <w:left w:val="nil"/>
              <w:bottom w:val="single" w:color="auto" w:sz="4" w:space="0"/>
              <w:right w:val="nil"/>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654" w:type="dxa"/>
            <w:tcBorders>
              <w:top w:val="nil"/>
              <w:left w:val="single" w:color="auto" w:sz="4" w:space="0"/>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　</w:t>
            </w:r>
          </w:p>
        </w:tc>
      </w:tr>
      <w:tr>
        <w:tblPrEx>
          <w:tblCellMar>
            <w:top w:w="0" w:type="dxa"/>
            <w:left w:w="108" w:type="dxa"/>
            <w:bottom w:w="0" w:type="dxa"/>
            <w:right w:w="108" w:type="dxa"/>
          </w:tblCellMar>
        </w:tblPrEx>
        <w:trPr>
          <w:trHeight w:val="474" w:hRule="atLeast"/>
        </w:trPr>
        <w:tc>
          <w:tcPr>
            <w:tcW w:w="1276" w:type="dxa"/>
            <w:tcBorders>
              <w:top w:val="nil"/>
              <w:left w:val="single" w:color="auto" w:sz="4" w:space="0"/>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创业基础</w:t>
            </w:r>
          </w:p>
        </w:tc>
        <w:tc>
          <w:tcPr>
            <w:tcW w:w="1276"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职业发展与</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就业指导A</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职业发展与就业指导B</w:t>
            </w:r>
          </w:p>
        </w:tc>
        <w:tc>
          <w:tcPr>
            <w:tcW w:w="1417"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政府投资学</w:t>
            </w:r>
          </w:p>
        </w:tc>
        <w:tc>
          <w:tcPr>
            <w:tcW w:w="1560"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社会工作概论</w:t>
            </w:r>
          </w:p>
        </w:tc>
        <w:tc>
          <w:tcPr>
            <w:tcW w:w="1099" w:type="dxa"/>
            <w:tcBorders>
              <w:top w:val="nil"/>
              <w:left w:val="nil"/>
              <w:bottom w:val="single" w:color="auto" w:sz="4" w:space="0"/>
              <w:right w:val="nil"/>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654" w:type="dxa"/>
            <w:tcBorders>
              <w:top w:val="nil"/>
              <w:left w:val="single" w:color="auto" w:sz="4" w:space="0"/>
              <w:bottom w:val="single" w:color="auto" w:sz="4" w:space="0"/>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8"/>
                <w:szCs w:val="18"/>
                <w:lang w:val="en-US"/>
              </w:rPr>
            </w:pPr>
            <w:r>
              <w:rPr>
                <w:rFonts w:ascii="Times New Roman" w:hAnsi="Times New Roman" w:eastAsia="宋体" w:cs="Times New Roman"/>
                <w:color w:val="000000"/>
                <w:kern w:val="0"/>
                <w:sz w:val="18"/>
                <w:szCs w:val="18"/>
                <w:lang w:val="en-US"/>
              </w:rPr>
              <w:t>　</w:t>
            </w:r>
          </w:p>
        </w:tc>
      </w:tr>
    </w:tbl>
    <w:p>
      <w:pPr>
        <w:rPr>
          <w:rFonts w:ascii="Times New Roman" w:hAnsi="Times New Roman" w:cs="Times New Roman"/>
          <w:sz w:val="24"/>
          <w:szCs w:val="28"/>
        </w:rPr>
      </w:pPr>
    </w:p>
    <w:p>
      <w:pPr>
        <w:rPr>
          <w:rFonts w:ascii="Times New Roman" w:hAnsi="Times New Roman" w:cs="Times New Roman"/>
          <w:sz w:val="28"/>
          <w:szCs w:val="28"/>
        </w:rPr>
      </w:pPr>
    </w:p>
    <w:p>
      <w:pPr>
        <w:rPr>
          <w:rFonts w:ascii="Times New Roman" w:hAnsi="Times New Roman" w:cs="Times New Roman"/>
          <w:sz w:val="28"/>
          <w:szCs w:val="28"/>
        </w:rPr>
      </w:pPr>
      <w:r>
        <w:rPr>
          <w:rFonts w:ascii="Times New Roman" w:hAnsi="Times New Roman" w:cs="Times New Roman"/>
          <w:sz w:val="28"/>
          <w:szCs w:val="28"/>
        </w:rPr>
        <w:t>Modul 2</w:t>
      </w:r>
    </w:p>
    <w:tbl>
      <w:tblPr>
        <w:tblStyle w:val="6"/>
        <w:tblW w:w="9356" w:type="dxa"/>
        <w:tblInd w:w="-5" w:type="dxa"/>
        <w:tblLayout w:type="autofit"/>
        <w:tblCellMar>
          <w:top w:w="0" w:type="dxa"/>
          <w:left w:w="108" w:type="dxa"/>
          <w:bottom w:w="0" w:type="dxa"/>
          <w:right w:w="108" w:type="dxa"/>
        </w:tblCellMar>
      </w:tblPr>
      <w:tblGrid>
        <w:gridCol w:w="1276"/>
        <w:gridCol w:w="1110"/>
        <w:gridCol w:w="1158"/>
        <w:gridCol w:w="1134"/>
        <w:gridCol w:w="1418"/>
        <w:gridCol w:w="1417"/>
        <w:gridCol w:w="1084"/>
        <w:gridCol w:w="759"/>
      </w:tblGrid>
      <w:tr>
        <w:tblPrEx>
          <w:tblCellMar>
            <w:top w:w="0" w:type="dxa"/>
            <w:left w:w="108" w:type="dxa"/>
            <w:bottom w:w="0" w:type="dxa"/>
            <w:right w:w="108" w:type="dxa"/>
          </w:tblCellMar>
        </w:tblPrEx>
        <w:trPr>
          <w:trHeight w:val="272" w:hRule="atLeast"/>
        </w:trPr>
        <w:tc>
          <w:tcPr>
            <w:tcW w:w="238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一年级</w:t>
            </w:r>
          </w:p>
        </w:tc>
        <w:tc>
          <w:tcPr>
            <w:tcW w:w="2292"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二年级</w:t>
            </w:r>
          </w:p>
        </w:tc>
        <w:tc>
          <w:tcPr>
            <w:tcW w:w="2835"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三年级</w:t>
            </w:r>
          </w:p>
        </w:tc>
        <w:tc>
          <w:tcPr>
            <w:tcW w:w="1843"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四年级</w:t>
            </w:r>
          </w:p>
        </w:tc>
      </w:tr>
      <w:tr>
        <w:tblPrEx>
          <w:tblCellMar>
            <w:top w:w="0" w:type="dxa"/>
            <w:left w:w="108" w:type="dxa"/>
            <w:bottom w:w="0" w:type="dxa"/>
            <w:right w:w="108" w:type="dxa"/>
          </w:tblCellMar>
        </w:tblPrEx>
        <w:trPr>
          <w:trHeight w:val="272" w:hRule="atLeast"/>
        </w:trPr>
        <w:tc>
          <w:tcPr>
            <w:tcW w:w="1276"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学期1</w:t>
            </w:r>
          </w:p>
        </w:tc>
        <w:tc>
          <w:tcPr>
            <w:tcW w:w="1110"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学期2</w:t>
            </w:r>
          </w:p>
        </w:tc>
        <w:tc>
          <w:tcPr>
            <w:tcW w:w="1158"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学期3</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学期4</w:t>
            </w:r>
          </w:p>
        </w:tc>
        <w:tc>
          <w:tcPr>
            <w:tcW w:w="1418"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学期5</w:t>
            </w:r>
          </w:p>
        </w:tc>
        <w:tc>
          <w:tcPr>
            <w:tcW w:w="1417"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学期6</w:t>
            </w:r>
          </w:p>
        </w:tc>
        <w:tc>
          <w:tcPr>
            <w:tcW w:w="108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学期7</w:t>
            </w:r>
          </w:p>
        </w:tc>
        <w:tc>
          <w:tcPr>
            <w:tcW w:w="759"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学期8</w:t>
            </w:r>
          </w:p>
        </w:tc>
      </w:tr>
      <w:tr>
        <w:tblPrEx>
          <w:tblCellMar>
            <w:top w:w="0" w:type="dxa"/>
            <w:left w:w="108" w:type="dxa"/>
            <w:bottom w:w="0" w:type="dxa"/>
            <w:right w:w="108" w:type="dxa"/>
          </w:tblCellMar>
        </w:tblPrEx>
        <w:trPr>
          <w:trHeight w:val="567" w:hRule="atLeast"/>
        </w:trPr>
        <w:tc>
          <w:tcPr>
            <w:tcW w:w="1276"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思想道德修养与法律基础</w:t>
            </w:r>
          </w:p>
        </w:tc>
        <w:tc>
          <w:tcPr>
            <w:tcW w:w="1110"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中国近代史纲要</w:t>
            </w:r>
          </w:p>
        </w:tc>
        <w:tc>
          <w:tcPr>
            <w:tcW w:w="1158"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马克思主义原理</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8"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毛泽东思想和中国特色社会主义理论体系概论</w:t>
            </w:r>
          </w:p>
        </w:tc>
        <w:tc>
          <w:tcPr>
            <w:tcW w:w="1417"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毛泽东思想和中国特色社会主义理论体系概论</w:t>
            </w:r>
          </w:p>
        </w:tc>
        <w:tc>
          <w:tcPr>
            <w:tcW w:w="108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毕业实习</w:t>
            </w:r>
          </w:p>
        </w:tc>
        <w:tc>
          <w:tcPr>
            <w:tcW w:w="759"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毕业</w:t>
            </w:r>
          </w:p>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设计</w:t>
            </w:r>
          </w:p>
        </w:tc>
      </w:tr>
      <w:tr>
        <w:tblPrEx>
          <w:tblCellMar>
            <w:top w:w="0" w:type="dxa"/>
            <w:left w:w="108" w:type="dxa"/>
            <w:bottom w:w="0" w:type="dxa"/>
            <w:right w:w="108" w:type="dxa"/>
          </w:tblCellMar>
        </w:tblPrEx>
        <w:trPr>
          <w:trHeight w:val="385" w:hRule="atLeast"/>
        </w:trPr>
        <w:tc>
          <w:tcPr>
            <w:tcW w:w="1276"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高等数学</w:t>
            </w:r>
          </w:p>
        </w:tc>
        <w:tc>
          <w:tcPr>
            <w:tcW w:w="1110"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58"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线性代数</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概率论与</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数理统计</w:t>
            </w:r>
          </w:p>
        </w:tc>
        <w:tc>
          <w:tcPr>
            <w:tcW w:w="1418"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7"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08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759"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385" w:hRule="atLeast"/>
        </w:trPr>
        <w:tc>
          <w:tcPr>
            <w:tcW w:w="1276"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大学计算机</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基础</w:t>
            </w:r>
          </w:p>
        </w:tc>
        <w:tc>
          <w:tcPr>
            <w:tcW w:w="1110"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办公数据</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处理与分析</w:t>
            </w:r>
          </w:p>
        </w:tc>
        <w:tc>
          <w:tcPr>
            <w:tcW w:w="1158"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8"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7"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08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759"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272" w:hRule="atLeast"/>
        </w:trPr>
        <w:tc>
          <w:tcPr>
            <w:tcW w:w="1276"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政治学</w:t>
            </w:r>
          </w:p>
        </w:tc>
        <w:tc>
          <w:tcPr>
            <w:tcW w:w="1110"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58"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8"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7"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08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759"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272" w:hRule="atLeast"/>
        </w:trPr>
        <w:tc>
          <w:tcPr>
            <w:tcW w:w="1276"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形势政治A</w:t>
            </w:r>
          </w:p>
        </w:tc>
        <w:tc>
          <w:tcPr>
            <w:tcW w:w="1110"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58"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形势政治B</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8"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形势政治C</w:t>
            </w:r>
          </w:p>
        </w:tc>
        <w:tc>
          <w:tcPr>
            <w:tcW w:w="1417"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08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形势政治D</w:t>
            </w:r>
          </w:p>
        </w:tc>
        <w:tc>
          <w:tcPr>
            <w:tcW w:w="759"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272" w:hRule="atLeast"/>
        </w:trPr>
        <w:tc>
          <w:tcPr>
            <w:tcW w:w="1276"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大学英语</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基础A</w:t>
            </w:r>
          </w:p>
        </w:tc>
        <w:tc>
          <w:tcPr>
            <w:tcW w:w="1110"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大学英语</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基础B</w:t>
            </w:r>
          </w:p>
        </w:tc>
        <w:tc>
          <w:tcPr>
            <w:tcW w:w="1158"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大学英语</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拓展B</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大学英语</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拓展A</w:t>
            </w:r>
          </w:p>
        </w:tc>
        <w:tc>
          <w:tcPr>
            <w:tcW w:w="1418"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7"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08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759"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272" w:hRule="atLeast"/>
        </w:trPr>
        <w:tc>
          <w:tcPr>
            <w:tcW w:w="1276"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军事理论</w:t>
            </w:r>
          </w:p>
        </w:tc>
        <w:tc>
          <w:tcPr>
            <w:tcW w:w="1110"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军事理论</w:t>
            </w:r>
          </w:p>
        </w:tc>
        <w:tc>
          <w:tcPr>
            <w:tcW w:w="1158"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8"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7"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08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759"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272" w:hRule="atLeast"/>
        </w:trPr>
        <w:tc>
          <w:tcPr>
            <w:tcW w:w="1276"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大学语文A</w:t>
            </w:r>
          </w:p>
        </w:tc>
        <w:tc>
          <w:tcPr>
            <w:tcW w:w="1110"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大学语文B</w:t>
            </w:r>
          </w:p>
        </w:tc>
        <w:tc>
          <w:tcPr>
            <w:tcW w:w="1158"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8"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7"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08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759"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272" w:hRule="atLeast"/>
        </w:trPr>
        <w:tc>
          <w:tcPr>
            <w:tcW w:w="1276"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体育</w:t>
            </w:r>
          </w:p>
        </w:tc>
        <w:tc>
          <w:tcPr>
            <w:tcW w:w="1110"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体育</w:t>
            </w:r>
          </w:p>
        </w:tc>
        <w:tc>
          <w:tcPr>
            <w:tcW w:w="1158"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体育</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体育</w:t>
            </w:r>
          </w:p>
        </w:tc>
        <w:tc>
          <w:tcPr>
            <w:tcW w:w="1418"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7"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08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759"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272" w:hRule="atLeast"/>
        </w:trPr>
        <w:tc>
          <w:tcPr>
            <w:tcW w:w="1276"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10"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社会统计学</w:t>
            </w:r>
          </w:p>
        </w:tc>
        <w:tc>
          <w:tcPr>
            <w:tcW w:w="1158"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社会调查方法</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8"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7"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084"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电子政务</w:t>
            </w:r>
          </w:p>
        </w:tc>
        <w:tc>
          <w:tcPr>
            <w:tcW w:w="759"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272" w:hRule="atLeast"/>
        </w:trPr>
        <w:tc>
          <w:tcPr>
            <w:tcW w:w="1276"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10"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社会学</w:t>
            </w:r>
          </w:p>
        </w:tc>
        <w:tc>
          <w:tcPr>
            <w:tcW w:w="1158"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8"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7"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社会心理学导论</w:t>
            </w:r>
          </w:p>
        </w:tc>
        <w:tc>
          <w:tcPr>
            <w:tcW w:w="108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759"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272" w:hRule="atLeast"/>
        </w:trPr>
        <w:tc>
          <w:tcPr>
            <w:tcW w:w="1276"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10"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经济学原理</w:t>
            </w:r>
          </w:p>
        </w:tc>
        <w:tc>
          <w:tcPr>
            <w:tcW w:w="1158"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8"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7"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劳动经济学</w:t>
            </w:r>
          </w:p>
        </w:tc>
        <w:tc>
          <w:tcPr>
            <w:tcW w:w="1084"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发展经济学</w:t>
            </w:r>
          </w:p>
        </w:tc>
        <w:tc>
          <w:tcPr>
            <w:tcW w:w="759"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272" w:hRule="atLeast"/>
        </w:trPr>
        <w:tc>
          <w:tcPr>
            <w:tcW w:w="1276"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10"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58"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人力资源</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管理</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8"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绩效管理</w:t>
            </w:r>
          </w:p>
        </w:tc>
        <w:tc>
          <w:tcPr>
            <w:tcW w:w="1417"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公务员制度</w:t>
            </w:r>
          </w:p>
        </w:tc>
        <w:tc>
          <w:tcPr>
            <w:tcW w:w="1084"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薪酬管理</w:t>
            </w:r>
          </w:p>
        </w:tc>
        <w:tc>
          <w:tcPr>
            <w:tcW w:w="759"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385" w:hRule="atLeast"/>
        </w:trPr>
        <w:tc>
          <w:tcPr>
            <w:tcW w:w="1276" w:type="dxa"/>
            <w:tcBorders>
              <w:top w:val="nil"/>
              <w:left w:val="single" w:color="auto" w:sz="4" w:space="0"/>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创业基础</w:t>
            </w:r>
          </w:p>
        </w:tc>
        <w:tc>
          <w:tcPr>
            <w:tcW w:w="1110"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职业发展与就业指导A</w:t>
            </w:r>
          </w:p>
        </w:tc>
        <w:tc>
          <w:tcPr>
            <w:tcW w:w="1158"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职业发展与就业指导B</w:t>
            </w:r>
          </w:p>
        </w:tc>
        <w:tc>
          <w:tcPr>
            <w:tcW w:w="1418" w:type="dxa"/>
            <w:tcBorders>
              <w:top w:val="nil"/>
              <w:left w:val="nil"/>
              <w:bottom w:val="single" w:color="auto" w:sz="4" w:space="0"/>
              <w:right w:val="single" w:color="auto" w:sz="4" w:space="0"/>
            </w:tcBorders>
            <w:shd w:val="clear" w:color="000000" w:fill="FFFF0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公共项目管理</w:t>
            </w:r>
          </w:p>
        </w:tc>
        <w:tc>
          <w:tcPr>
            <w:tcW w:w="1417" w:type="dxa"/>
            <w:tcBorders>
              <w:top w:val="nil"/>
              <w:left w:val="nil"/>
              <w:bottom w:val="single" w:color="auto" w:sz="4" w:space="0"/>
              <w:right w:val="single" w:color="auto" w:sz="4" w:space="0"/>
            </w:tcBorders>
            <w:shd w:val="clear" w:color="000000" w:fill="FFFF0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公共关系学(学期不同)</w:t>
            </w:r>
          </w:p>
        </w:tc>
        <w:tc>
          <w:tcPr>
            <w:tcW w:w="108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759"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272" w:hRule="atLeast"/>
        </w:trPr>
        <w:tc>
          <w:tcPr>
            <w:tcW w:w="1276" w:type="dxa"/>
            <w:tcBorders>
              <w:top w:val="nil"/>
              <w:left w:val="single" w:color="auto" w:sz="4" w:space="0"/>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管理学</w:t>
            </w:r>
          </w:p>
        </w:tc>
        <w:tc>
          <w:tcPr>
            <w:tcW w:w="1110"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58"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公共管理学</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8"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7"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公共政策分析</w:t>
            </w:r>
          </w:p>
        </w:tc>
        <w:tc>
          <w:tcPr>
            <w:tcW w:w="108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759"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385" w:hRule="atLeast"/>
        </w:trPr>
        <w:tc>
          <w:tcPr>
            <w:tcW w:w="1276"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10"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创业基础</w:t>
            </w:r>
          </w:p>
        </w:tc>
        <w:tc>
          <w:tcPr>
            <w:tcW w:w="1158"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8" w:type="dxa"/>
            <w:tcBorders>
              <w:top w:val="nil"/>
              <w:left w:val="nil"/>
              <w:bottom w:val="single" w:color="auto" w:sz="4" w:space="0"/>
              <w:right w:val="single" w:color="auto" w:sz="4" w:space="0"/>
            </w:tcBorders>
            <w:shd w:val="clear" w:color="000000" w:fill="FFFF0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公共组织财务管理学</w:t>
            </w:r>
          </w:p>
        </w:tc>
        <w:tc>
          <w:tcPr>
            <w:tcW w:w="1417"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08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759"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272" w:hRule="atLeast"/>
        </w:trPr>
        <w:tc>
          <w:tcPr>
            <w:tcW w:w="1276"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10"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58"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社会保障</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概论</w:t>
            </w:r>
          </w:p>
        </w:tc>
        <w:tc>
          <w:tcPr>
            <w:tcW w:w="1134"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职业生涯</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管理</w:t>
            </w:r>
          </w:p>
        </w:tc>
        <w:tc>
          <w:tcPr>
            <w:tcW w:w="1418"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组织行为学</w:t>
            </w:r>
          </w:p>
        </w:tc>
        <w:tc>
          <w:tcPr>
            <w:tcW w:w="1417"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084"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专业外语</w:t>
            </w:r>
          </w:p>
        </w:tc>
        <w:tc>
          <w:tcPr>
            <w:tcW w:w="759"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385" w:hRule="atLeast"/>
        </w:trPr>
        <w:tc>
          <w:tcPr>
            <w:tcW w:w="1276"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10"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58"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劳动关系学</w:t>
            </w:r>
          </w:p>
        </w:tc>
        <w:tc>
          <w:tcPr>
            <w:tcW w:w="1418"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行政法与</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行政诉讼</w:t>
            </w:r>
          </w:p>
        </w:tc>
        <w:tc>
          <w:tcPr>
            <w:tcW w:w="1417"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084" w:type="dxa"/>
            <w:tcBorders>
              <w:top w:val="nil"/>
              <w:left w:val="nil"/>
              <w:bottom w:val="single" w:color="auto" w:sz="4" w:space="0"/>
              <w:right w:val="single" w:color="auto" w:sz="4" w:space="0"/>
            </w:tcBorders>
            <w:shd w:val="clear" w:color="auto" w:fill="auto"/>
            <w:noWrap/>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759"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385" w:hRule="atLeast"/>
        </w:trPr>
        <w:tc>
          <w:tcPr>
            <w:tcW w:w="1276"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10"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58"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会计学</w:t>
            </w:r>
          </w:p>
        </w:tc>
        <w:tc>
          <w:tcPr>
            <w:tcW w:w="1418"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社会保障</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基金管理</w:t>
            </w:r>
          </w:p>
        </w:tc>
        <w:tc>
          <w:tcPr>
            <w:tcW w:w="1417"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审计学</w:t>
            </w:r>
          </w:p>
        </w:tc>
        <w:tc>
          <w:tcPr>
            <w:tcW w:w="108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759"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385" w:hRule="atLeast"/>
        </w:trPr>
        <w:tc>
          <w:tcPr>
            <w:tcW w:w="1276"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10"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58"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社会福利</w:t>
            </w:r>
          </w:p>
        </w:tc>
        <w:tc>
          <w:tcPr>
            <w:tcW w:w="1418"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社会保障</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政策评估</w:t>
            </w:r>
          </w:p>
        </w:tc>
        <w:tc>
          <w:tcPr>
            <w:tcW w:w="1417"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社会保障</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国际比较</w:t>
            </w:r>
          </w:p>
        </w:tc>
        <w:tc>
          <w:tcPr>
            <w:tcW w:w="108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759"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385" w:hRule="atLeast"/>
        </w:trPr>
        <w:tc>
          <w:tcPr>
            <w:tcW w:w="1276"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10"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58"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社会政策</w:t>
            </w:r>
          </w:p>
        </w:tc>
        <w:tc>
          <w:tcPr>
            <w:tcW w:w="1418"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保险原理</w:t>
            </w:r>
          </w:p>
        </w:tc>
        <w:tc>
          <w:tcPr>
            <w:tcW w:w="1417"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社会保障</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理论前沿</w:t>
            </w:r>
          </w:p>
        </w:tc>
        <w:tc>
          <w:tcPr>
            <w:tcW w:w="108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759"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272" w:hRule="atLeast"/>
        </w:trPr>
        <w:tc>
          <w:tcPr>
            <w:tcW w:w="1276" w:type="dxa"/>
            <w:tcBorders>
              <w:top w:val="nil"/>
              <w:left w:val="single" w:color="auto" w:sz="4" w:space="0"/>
              <w:bottom w:val="single" w:color="auto" w:sz="4" w:space="0"/>
              <w:right w:val="single" w:color="auto" w:sz="4" w:space="0"/>
            </w:tcBorders>
            <w:shd w:val="clear" w:color="auto" w:fill="auto"/>
            <w:noWrap/>
            <w:vAlign w:val="bottom"/>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10" w:type="dxa"/>
            <w:tcBorders>
              <w:top w:val="nil"/>
              <w:left w:val="nil"/>
              <w:bottom w:val="single" w:color="auto" w:sz="4" w:space="0"/>
              <w:right w:val="single" w:color="auto" w:sz="4" w:space="0"/>
            </w:tcBorders>
            <w:shd w:val="clear" w:color="auto" w:fill="auto"/>
            <w:noWrap/>
            <w:vAlign w:val="bottom"/>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58"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金融学</w:t>
            </w:r>
          </w:p>
        </w:tc>
        <w:tc>
          <w:tcPr>
            <w:tcW w:w="1418"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老龄政策分析</w:t>
            </w:r>
          </w:p>
        </w:tc>
        <w:tc>
          <w:tcPr>
            <w:tcW w:w="1417"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社会保险</w:t>
            </w:r>
          </w:p>
        </w:tc>
        <w:tc>
          <w:tcPr>
            <w:tcW w:w="108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759"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329" w:hRule="atLeast"/>
        </w:trPr>
        <w:tc>
          <w:tcPr>
            <w:tcW w:w="1276" w:type="dxa"/>
            <w:tcBorders>
              <w:top w:val="nil"/>
              <w:left w:val="single" w:color="auto" w:sz="4" w:space="0"/>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心理健康</w:t>
            </w:r>
          </w:p>
        </w:tc>
        <w:tc>
          <w:tcPr>
            <w:tcW w:w="1110"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心理健康</w:t>
            </w:r>
          </w:p>
        </w:tc>
        <w:tc>
          <w:tcPr>
            <w:tcW w:w="1158"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418"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政府投资学</w:t>
            </w:r>
          </w:p>
        </w:tc>
        <w:tc>
          <w:tcPr>
            <w:tcW w:w="1417" w:type="dxa"/>
            <w:tcBorders>
              <w:top w:val="nil"/>
              <w:left w:val="nil"/>
              <w:bottom w:val="single" w:color="auto" w:sz="4" w:space="0"/>
              <w:right w:val="single" w:color="auto" w:sz="4" w:space="0"/>
            </w:tcBorders>
            <w:shd w:val="clear" w:color="000000" w:fill="8DB4E2"/>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社会工作概论</w:t>
            </w:r>
          </w:p>
        </w:tc>
        <w:tc>
          <w:tcPr>
            <w:tcW w:w="108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759" w:type="dxa"/>
            <w:tcBorders>
              <w:top w:val="nil"/>
              <w:left w:val="nil"/>
              <w:bottom w:val="single" w:color="auto" w:sz="4" w:space="0"/>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bl>
    <w:p>
      <w:pPr>
        <w:rPr>
          <w:rFonts w:ascii="Times New Roman" w:hAnsi="Times New Roman" w:cs="Times New Roman"/>
          <w:sz w:val="22"/>
          <w:szCs w:val="28"/>
        </w:rPr>
      </w:pPr>
    </w:p>
    <w:p>
      <w:pPr>
        <w:rPr>
          <w:rFonts w:ascii="Times New Roman" w:hAnsi="Times New Roman" w:cs="Times New Roman"/>
          <w:sz w:val="20"/>
          <w:szCs w:val="28"/>
        </w:rPr>
      </w:pPr>
      <w:r>
        <w:rPr>
          <w:rFonts w:ascii="Times New Roman" w:hAnsi="Times New Roman" w:cs="Times New Roman"/>
          <w:sz w:val="20"/>
          <w:szCs w:val="28"/>
        </w:rPr>
        <w:t>注：学期5 选择与公管相同的公共项目管理与公共组织财物管理学。公共关系学在学期6。</w:t>
      </w:r>
    </w:p>
    <w:p>
      <w:pPr>
        <w:rPr>
          <w:rFonts w:ascii="Times New Roman" w:hAnsi="Times New Roman" w:cs="Times New Roman"/>
          <w:sz w:val="28"/>
          <w:szCs w:val="28"/>
        </w:rPr>
      </w:pPr>
      <w:r>
        <w:rPr>
          <w:rFonts w:ascii="Times New Roman" w:hAnsi="Times New Roman" w:cs="Times New Roman"/>
          <w:sz w:val="28"/>
          <w:szCs w:val="28"/>
        </w:rPr>
        <w:t>Modul 3</w:t>
      </w:r>
    </w:p>
    <w:tbl>
      <w:tblPr>
        <w:tblStyle w:val="6"/>
        <w:tblW w:w="9358" w:type="dxa"/>
        <w:tblInd w:w="-5" w:type="dxa"/>
        <w:tblLayout w:type="autofit"/>
        <w:tblCellMar>
          <w:top w:w="0" w:type="dxa"/>
          <w:left w:w="108" w:type="dxa"/>
          <w:bottom w:w="0" w:type="dxa"/>
          <w:right w:w="108" w:type="dxa"/>
        </w:tblCellMar>
      </w:tblPr>
      <w:tblGrid>
        <w:gridCol w:w="1250"/>
        <w:gridCol w:w="1187"/>
        <w:gridCol w:w="1173"/>
        <w:gridCol w:w="1112"/>
        <w:gridCol w:w="1388"/>
        <w:gridCol w:w="1390"/>
        <w:gridCol w:w="1111"/>
        <w:gridCol w:w="747"/>
      </w:tblGrid>
      <w:tr>
        <w:tblPrEx>
          <w:tblCellMar>
            <w:top w:w="0" w:type="dxa"/>
            <w:left w:w="108" w:type="dxa"/>
            <w:bottom w:w="0" w:type="dxa"/>
            <w:right w:w="108" w:type="dxa"/>
          </w:tblCellMar>
        </w:tblPrEx>
        <w:trPr>
          <w:trHeight w:val="293" w:hRule="atLeast"/>
        </w:trPr>
        <w:tc>
          <w:tcPr>
            <w:tcW w:w="2437"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一年级</w:t>
            </w:r>
          </w:p>
        </w:tc>
        <w:tc>
          <w:tcPr>
            <w:tcW w:w="2285"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二年级</w:t>
            </w:r>
          </w:p>
        </w:tc>
        <w:tc>
          <w:tcPr>
            <w:tcW w:w="2778"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三年级</w:t>
            </w:r>
          </w:p>
        </w:tc>
        <w:tc>
          <w:tcPr>
            <w:tcW w:w="1858"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四年级</w:t>
            </w:r>
          </w:p>
        </w:tc>
      </w:tr>
      <w:tr>
        <w:tblPrEx>
          <w:tblCellMar>
            <w:top w:w="0" w:type="dxa"/>
            <w:left w:w="108" w:type="dxa"/>
            <w:bottom w:w="0" w:type="dxa"/>
            <w:right w:w="108" w:type="dxa"/>
          </w:tblCellMar>
        </w:tblPrEx>
        <w:trPr>
          <w:trHeight w:val="293" w:hRule="atLeast"/>
        </w:trPr>
        <w:tc>
          <w:tcPr>
            <w:tcW w:w="1250"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学期1</w:t>
            </w:r>
          </w:p>
        </w:tc>
        <w:tc>
          <w:tcPr>
            <w:tcW w:w="1187"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学期2</w:t>
            </w:r>
          </w:p>
        </w:tc>
        <w:tc>
          <w:tcPr>
            <w:tcW w:w="1173"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学期3</w:t>
            </w:r>
          </w:p>
        </w:tc>
        <w:tc>
          <w:tcPr>
            <w:tcW w:w="1111"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学期4</w:t>
            </w:r>
          </w:p>
        </w:tc>
        <w:tc>
          <w:tcPr>
            <w:tcW w:w="1388"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学期5</w:t>
            </w:r>
          </w:p>
        </w:tc>
        <w:tc>
          <w:tcPr>
            <w:tcW w:w="1389"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学期6</w:t>
            </w:r>
          </w:p>
        </w:tc>
        <w:tc>
          <w:tcPr>
            <w:tcW w:w="1111"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学期7</w:t>
            </w:r>
          </w:p>
        </w:tc>
        <w:tc>
          <w:tcPr>
            <w:tcW w:w="747" w:type="dxa"/>
            <w:tcBorders>
              <w:top w:val="nil"/>
              <w:left w:val="nil"/>
              <w:bottom w:val="single" w:color="auto" w:sz="4" w:space="0"/>
              <w:right w:val="single" w:color="auto" w:sz="4" w:space="0"/>
            </w:tcBorders>
            <w:shd w:val="clear" w:color="auto" w:fill="auto"/>
            <w:vAlign w:val="bottom"/>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学期8</w:t>
            </w:r>
          </w:p>
        </w:tc>
      </w:tr>
      <w:tr>
        <w:tblPrEx>
          <w:tblCellMar>
            <w:top w:w="0" w:type="dxa"/>
            <w:left w:w="108" w:type="dxa"/>
            <w:bottom w:w="0" w:type="dxa"/>
            <w:right w:w="108" w:type="dxa"/>
          </w:tblCellMar>
        </w:tblPrEx>
        <w:trPr>
          <w:trHeight w:val="903" w:hRule="atLeast"/>
        </w:trPr>
        <w:tc>
          <w:tcPr>
            <w:tcW w:w="1250"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思想道德修养与法律基础</w:t>
            </w:r>
          </w:p>
        </w:tc>
        <w:tc>
          <w:tcPr>
            <w:tcW w:w="1187"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中国近代史</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纲要</w:t>
            </w:r>
          </w:p>
        </w:tc>
        <w:tc>
          <w:tcPr>
            <w:tcW w:w="1173"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马克思主义</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原理</w:t>
            </w:r>
          </w:p>
        </w:tc>
        <w:tc>
          <w:tcPr>
            <w:tcW w:w="1111"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388"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毛泽东思想和中国特色社会主义理论体系概论</w:t>
            </w:r>
          </w:p>
        </w:tc>
        <w:tc>
          <w:tcPr>
            <w:tcW w:w="1389"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毛泽东思想和中国特色社会主义理论体系概论</w:t>
            </w:r>
          </w:p>
        </w:tc>
        <w:tc>
          <w:tcPr>
            <w:tcW w:w="1111"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毕业实习</w:t>
            </w:r>
          </w:p>
        </w:tc>
        <w:tc>
          <w:tcPr>
            <w:tcW w:w="747"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毕业</w:t>
            </w:r>
          </w:p>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设计</w:t>
            </w:r>
          </w:p>
        </w:tc>
      </w:tr>
      <w:tr>
        <w:tblPrEx>
          <w:tblCellMar>
            <w:top w:w="0" w:type="dxa"/>
            <w:left w:w="108" w:type="dxa"/>
            <w:bottom w:w="0" w:type="dxa"/>
            <w:right w:w="108" w:type="dxa"/>
          </w:tblCellMar>
        </w:tblPrEx>
        <w:trPr>
          <w:trHeight w:val="463" w:hRule="atLeast"/>
        </w:trPr>
        <w:tc>
          <w:tcPr>
            <w:tcW w:w="1250"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高等数学</w:t>
            </w:r>
          </w:p>
        </w:tc>
        <w:tc>
          <w:tcPr>
            <w:tcW w:w="1187"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73"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线性代数</w:t>
            </w:r>
          </w:p>
        </w:tc>
        <w:tc>
          <w:tcPr>
            <w:tcW w:w="1111"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概率论与</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数理统计</w:t>
            </w:r>
          </w:p>
        </w:tc>
        <w:tc>
          <w:tcPr>
            <w:tcW w:w="1388"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389"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11"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747"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463" w:hRule="atLeast"/>
        </w:trPr>
        <w:tc>
          <w:tcPr>
            <w:tcW w:w="1250"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大学计算机</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基础</w:t>
            </w:r>
          </w:p>
        </w:tc>
        <w:tc>
          <w:tcPr>
            <w:tcW w:w="1187"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办公数据</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处理与分析</w:t>
            </w:r>
          </w:p>
        </w:tc>
        <w:tc>
          <w:tcPr>
            <w:tcW w:w="1173"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11"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388"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389"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11"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747"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293" w:hRule="atLeast"/>
        </w:trPr>
        <w:tc>
          <w:tcPr>
            <w:tcW w:w="1250"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政治学</w:t>
            </w:r>
          </w:p>
        </w:tc>
        <w:tc>
          <w:tcPr>
            <w:tcW w:w="1187"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73"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11"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388"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389"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11"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747"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293" w:hRule="atLeast"/>
        </w:trPr>
        <w:tc>
          <w:tcPr>
            <w:tcW w:w="1250"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形势政治A</w:t>
            </w:r>
          </w:p>
        </w:tc>
        <w:tc>
          <w:tcPr>
            <w:tcW w:w="1187"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73"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形势政治B</w:t>
            </w:r>
          </w:p>
        </w:tc>
        <w:tc>
          <w:tcPr>
            <w:tcW w:w="1111"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388"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形势政治C</w:t>
            </w:r>
          </w:p>
        </w:tc>
        <w:tc>
          <w:tcPr>
            <w:tcW w:w="1389"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11"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形势政治D</w:t>
            </w:r>
          </w:p>
        </w:tc>
        <w:tc>
          <w:tcPr>
            <w:tcW w:w="747"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463" w:hRule="atLeast"/>
        </w:trPr>
        <w:tc>
          <w:tcPr>
            <w:tcW w:w="1250"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大学英语</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基础A</w:t>
            </w:r>
          </w:p>
        </w:tc>
        <w:tc>
          <w:tcPr>
            <w:tcW w:w="1187"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大学英语</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基础B</w:t>
            </w:r>
          </w:p>
        </w:tc>
        <w:tc>
          <w:tcPr>
            <w:tcW w:w="1173"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大学英语</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拓展B</w:t>
            </w:r>
          </w:p>
        </w:tc>
        <w:tc>
          <w:tcPr>
            <w:tcW w:w="1111"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大学英语</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拓展A</w:t>
            </w:r>
          </w:p>
        </w:tc>
        <w:tc>
          <w:tcPr>
            <w:tcW w:w="1388"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389"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11"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747"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293" w:hRule="atLeast"/>
        </w:trPr>
        <w:tc>
          <w:tcPr>
            <w:tcW w:w="1250"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军事理论</w:t>
            </w:r>
          </w:p>
        </w:tc>
        <w:tc>
          <w:tcPr>
            <w:tcW w:w="1187"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军事理论</w:t>
            </w:r>
          </w:p>
        </w:tc>
        <w:tc>
          <w:tcPr>
            <w:tcW w:w="1173"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11"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388"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389"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11"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747"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293" w:hRule="atLeast"/>
        </w:trPr>
        <w:tc>
          <w:tcPr>
            <w:tcW w:w="1250"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大学语文A</w:t>
            </w:r>
          </w:p>
        </w:tc>
        <w:tc>
          <w:tcPr>
            <w:tcW w:w="1187"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大学语文B</w:t>
            </w:r>
          </w:p>
        </w:tc>
        <w:tc>
          <w:tcPr>
            <w:tcW w:w="1173"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11"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388"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389"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11"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747"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293" w:hRule="atLeast"/>
        </w:trPr>
        <w:tc>
          <w:tcPr>
            <w:tcW w:w="1250"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体育</w:t>
            </w:r>
          </w:p>
        </w:tc>
        <w:tc>
          <w:tcPr>
            <w:tcW w:w="1187"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体育</w:t>
            </w:r>
          </w:p>
        </w:tc>
        <w:tc>
          <w:tcPr>
            <w:tcW w:w="1173"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体育</w:t>
            </w:r>
          </w:p>
        </w:tc>
        <w:tc>
          <w:tcPr>
            <w:tcW w:w="1111"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体育</w:t>
            </w:r>
          </w:p>
        </w:tc>
        <w:tc>
          <w:tcPr>
            <w:tcW w:w="1388"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389"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11"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747"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293" w:hRule="atLeast"/>
        </w:trPr>
        <w:tc>
          <w:tcPr>
            <w:tcW w:w="1250"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87"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社会统计学</w:t>
            </w:r>
          </w:p>
        </w:tc>
        <w:tc>
          <w:tcPr>
            <w:tcW w:w="1173"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社会调查</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方法</w:t>
            </w:r>
          </w:p>
        </w:tc>
        <w:tc>
          <w:tcPr>
            <w:tcW w:w="1111"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388"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389"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11"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电子政务</w:t>
            </w:r>
          </w:p>
        </w:tc>
        <w:tc>
          <w:tcPr>
            <w:tcW w:w="747"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463" w:hRule="atLeast"/>
        </w:trPr>
        <w:tc>
          <w:tcPr>
            <w:tcW w:w="1250"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87"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社会学</w:t>
            </w:r>
          </w:p>
        </w:tc>
        <w:tc>
          <w:tcPr>
            <w:tcW w:w="1173"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11"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388"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389"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社会心理学导论</w:t>
            </w:r>
          </w:p>
        </w:tc>
        <w:tc>
          <w:tcPr>
            <w:tcW w:w="1111"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747"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293" w:hRule="atLeast"/>
        </w:trPr>
        <w:tc>
          <w:tcPr>
            <w:tcW w:w="1250"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87"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经济学原理</w:t>
            </w:r>
          </w:p>
        </w:tc>
        <w:tc>
          <w:tcPr>
            <w:tcW w:w="1173"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11"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388"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389"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11"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发展经济学</w:t>
            </w:r>
          </w:p>
        </w:tc>
        <w:tc>
          <w:tcPr>
            <w:tcW w:w="747"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293" w:hRule="atLeast"/>
        </w:trPr>
        <w:tc>
          <w:tcPr>
            <w:tcW w:w="1250"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87"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73"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人力资源</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管理</w:t>
            </w:r>
          </w:p>
        </w:tc>
        <w:tc>
          <w:tcPr>
            <w:tcW w:w="1111"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388" w:type="dxa"/>
            <w:tcBorders>
              <w:top w:val="nil"/>
              <w:left w:val="nil"/>
              <w:bottom w:val="single" w:color="auto" w:sz="4" w:space="0"/>
              <w:right w:val="single" w:color="auto" w:sz="4" w:space="0"/>
            </w:tcBorders>
            <w:shd w:val="clear" w:color="000000" w:fill="FFFF0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绩效管理</w:t>
            </w:r>
          </w:p>
        </w:tc>
        <w:tc>
          <w:tcPr>
            <w:tcW w:w="1389"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公务员制度</w:t>
            </w:r>
          </w:p>
        </w:tc>
        <w:tc>
          <w:tcPr>
            <w:tcW w:w="1111"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747"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463" w:hRule="atLeast"/>
        </w:trPr>
        <w:tc>
          <w:tcPr>
            <w:tcW w:w="1250"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87"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73" w:type="dxa"/>
            <w:tcBorders>
              <w:top w:val="nil"/>
              <w:left w:val="nil"/>
              <w:bottom w:val="single" w:color="auto" w:sz="4" w:space="0"/>
              <w:right w:val="single" w:color="auto" w:sz="4" w:space="0"/>
            </w:tcBorders>
            <w:shd w:val="clear" w:color="000000" w:fill="92D05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公共部门</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人力资源</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管理</w:t>
            </w:r>
          </w:p>
        </w:tc>
        <w:tc>
          <w:tcPr>
            <w:tcW w:w="1111" w:type="dxa"/>
            <w:tcBorders>
              <w:top w:val="nil"/>
              <w:left w:val="nil"/>
              <w:bottom w:val="single" w:color="auto" w:sz="4" w:space="0"/>
              <w:right w:val="single" w:color="auto" w:sz="4" w:space="0"/>
            </w:tcBorders>
            <w:shd w:val="clear" w:color="000000" w:fill="FFFF0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公共关系学(学期不同)</w:t>
            </w:r>
          </w:p>
        </w:tc>
        <w:tc>
          <w:tcPr>
            <w:tcW w:w="1388" w:type="dxa"/>
            <w:tcBorders>
              <w:top w:val="nil"/>
              <w:left w:val="nil"/>
              <w:bottom w:val="single" w:color="auto" w:sz="4" w:space="0"/>
              <w:right w:val="single" w:color="auto" w:sz="4" w:space="0"/>
            </w:tcBorders>
            <w:shd w:val="clear" w:color="000000" w:fill="FFFF0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项目管理</w:t>
            </w:r>
          </w:p>
        </w:tc>
        <w:tc>
          <w:tcPr>
            <w:tcW w:w="1389"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11" w:type="dxa"/>
            <w:tcBorders>
              <w:top w:val="nil"/>
              <w:left w:val="nil"/>
              <w:bottom w:val="single" w:color="auto" w:sz="4" w:space="0"/>
              <w:right w:val="single" w:color="auto" w:sz="4" w:space="0"/>
            </w:tcBorders>
            <w:shd w:val="clear" w:color="000000" w:fill="92D05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市政管理学</w:t>
            </w:r>
          </w:p>
        </w:tc>
        <w:tc>
          <w:tcPr>
            <w:tcW w:w="747"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463" w:hRule="atLeast"/>
        </w:trPr>
        <w:tc>
          <w:tcPr>
            <w:tcW w:w="1250" w:type="dxa"/>
            <w:tcBorders>
              <w:top w:val="nil"/>
              <w:left w:val="single" w:color="auto" w:sz="4" w:space="0"/>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管理学</w:t>
            </w:r>
          </w:p>
        </w:tc>
        <w:tc>
          <w:tcPr>
            <w:tcW w:w="1187"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73"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公共管理学</w:t>
            </w:r>
          </w:p>
        </w:tc>
        <w:tc>
          <w:tcPr>
            <w:tcW w:w="1111" w:type="dxa"/>
            <w:tcBorders>
              <w:top w:val="nil"/>
              <w:left w:val="nil"/>
              <w:bottom w:val="single" w:color="auto" w:sz="4" w:space="0"/>
              <w:right w:val="single" w:color="auto" w:sz="4" w:space="0"/>
            </w:tcBorders>
            <w:shd w:val="clear" w:color="000000" w:fill="92D05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行政管理学</w:t>
            </w:r>
          </w:p>
        </w:tc>
        <w:tc>
          <w:tcPr>
            <w:tcW w:w="1388" w:type="dxa"/>
            <w:tcBorders>
              <w:top w:val="nil"/>
              <w:left w:val="nil"/>
              <w:bottom w:val="single" w:color="auto" w:sz="4" w:space="0"/>
              <w:right w:val="single" w:color="auto" w:sz="4" w:space="0"/>
            </w:tcBorders>
            <w:shd w:val="clear" w:color="000000" w:fill="92D05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公共管理外语</w:t>
            </w:r>
          </w:p>
        </w:tc>
        <w:tc>
          <w:tcPr>
            <w:tcW w:w="1389"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公共政策分析</w:t>
            </w:r>
          </w:p>
        </w:tc>
        <w:tc>
          <w:tcPr>
            <w:tcW w:w="1111" w:type="dxa"/>
            <w:tcBorders>
              <w:top w:val="nil"/>
              <w:left w:val="nil"/>
              <w:bottom w:val="single" w:color="auto" w:sz="4" w:space="0"/>
              <w:right w:val="single" w:color="auto" w:sz="4" w:space="0"/>
            </w:tcBorders>
            <w:shd w:val="clear" w:color="000000" w:fill="92D05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公共管理</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学术前沿</w:t>
            </w:r>
          </w:p>
        </w:tc>
        <w:tc>
          <w:tcPr>
            <w:tcW w:w="747"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463" w:hRule="atLeast"/>
        </w:trPr>
        <w:tc>
          <w:tcPr>
            <w:tcW w:w="1250"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87"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73" w:type="dxa"/>
            <w:tcBorders>
              <w:top w:val="nil"/>
              <w:left w:val="nil"/>
              <w:bottom w:val="single" w:color="auto" w:sz="4" w:space="0"/>
              <w:right w:val="single" w:color="auto" w:sz="4" w:space="0"/>
            </w:tcBorders>
            <w:shd w:val="clear" w:color="000000" w:fill="92D05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非营利组织</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管理</w:t>
            </w:r>
          </w:p>
        </w:tc>
        <w:tc>
          <w:tcPr>
            <w:tcW w:w="1111" w:type="dxa"/>
            <w:tcBorders>
              <w:top w:val="nil"/>
              <w:left w:val="nil"/>
              <w:bottom w:val="single" w:color="auto" w:sz="4" w:space="0"/>
              <w:right w:val="single" w:color="auto" w:sz="4" w:space="0"/>
            </w:tcBorders>
            <w:shd w:val="clear" w:color="000000" w:fill="92D05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社会组织运营与管理</w:t>
            </w:r>
          </w:p>
        </w:tc>
        <w:tc>
          <w:tcPr>
            <w:tcW w:w="1388" w:type="dxa"/>
            <w:tcBorders>
              <w:top w:val="nil"/>
              <w:left w:val="nil"/>
              <w:bottom w:val="single" w:color="auto" w:sz="4" w:space="0"/>
              <w:right w:val="single" w:color="auto" w:sz="4" w:space="0"/>
            </w:tcBorders>
            <w:shd w:val="clear" w:color="000000" w:fill="92D05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公共经济学</w:t>
            </w:r>
          </w:p>
        </w:tc>
        <w:tc>
          <w:tcPr>
            <w:tcW w:w="1389" w:type="dxa"/>
            <w:tcBorders>
              <w:top w:val="nil"/>
              <w:left w:val="nil"/>
              <w:bottom w:val="single" w:color="auto" w:sz="4" w:space="0"/>
              <w:right w:val="single" w:color="auto" w:sz="4" w:space="0"/>
            </w:tcBorders>
            <w:shd w:val="clear" w:color="000000" w:fill="92D05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公共组织学</w:t>
            </w:r>
          </w:p>
        </w:tc>
        <w:tc>
          <w:tcPr>
            <w:tcW w:w="1111" w:type="dxa"/>
            <w:tcBorders>
              <w:top w:val="nil"/>
              <w:left w:val="nil"/>
              <w:bottom w:val="single" w:color="auto" w:sz="4" w:space="0"/>
              <w:right w:val="single" w:color="auto" w:sz="4" w:space="0"/>
            </w:tcBorders>
            <w:shd w:val="clear" w:color="000000" w:fill="92D05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社区管理</w:t>
            </w:r>
          </w:p>
        </w:tc>
        <w:tc>
          <w:tcPr>
            <w:tcW w:w="747"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463" w:hRule="atLeast"/>
        </w:trPr>
        <w:tc>
          <w:tcPr>
            <w:tcW w:w="1250" w:type="dxa"/>
            <w:tcBorders>
              <w:top w:val="nil"/>
              <w:left w:val="single" w:color="auto" w:sz="4" w:space="0"/>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心理健康</w:t>
            </w:r>
          </w:p>
        </w:tc>
        <w:tc>
          <w:tcPr>
            <w:tcW w:w="1187"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心理健康</w:t>
            </w:r>
          </w:p>
        </w:tc>
        <w:tc>
          <w:tcPr>
            <w:tcW w:w="1173" w:type="dxa"/>
            <w:tcBorders>
              <w:top w:val="nil"/>
              <w:left w:val="nil"/>
              <w:bottom w:val="single" w:color="auto" w:sz="4" w:space="0"/>
              <w:right w:val="single" w:color="auto" w:sz="4" w:space="0"/>
            </w:tcBorders>
            <w:shd w:val="clear" w:color="000000" w:fill="92D05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公共管理</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法律基础</w:t>
            </w:r>
          </w:p>
        </w:tc>
        <w:tc>
          <w:tcPr>
            <w:tcW w:w="1111" w:type="dxa"/>
            <w:tcBorders>
              <w:top w:val="nil"/>
              <w:left w:val="nil"/>
              <w:bottom w:val="single" w:color="auto" w:sz="4" w:space="0"/>
              <w:right w:val="single" w:color="auto" w:sz="4" w:space="0"/>
            </w:tcBorders>
            <w:shd w:val="clear" w:color="000000" w:fill="92D05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公共事业</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管理学</w:t>
            </w:r>
          </w:p>
        </w:tc>
        <w:tc>
          <w:tcPr>
            <w:tcW w:w="1388" w:type="dxa"/>
            <w:tcBorders>
              <w:top w:val="nil"/>
              <w:left w:val="nil"/>
              <w:bottom w:val="single" w:color="auto" w:sz="4" w:space="0"/>
              <w:right w:val="single" w:color="auto" w:sz="4" w:space="0"/>
            </w:tcBorders>
            <w:shd w:val="clear" w:color="000000" w:fill="FFFF0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财务管理学</w:t>
            </w:r>
          </w:p>
        </w:tc>
        <w:tc>
          <w:tcPr>
            <w:tcW w:w="1389"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11" w:type="dxa"/>
            <w:tcBorders>
              <w:top w:val="nil"/>
              <w:left w:val="nil"/>
              <w:bottom w:val="single" w:color="auto" w:sz="4" w:space="0"/>
              <w:right w:val="single" w:color="auto" w:sz="4" w:space="0"/>
            </w:tcBorders>
            <w:shd w:val="clear" w:color="000000" w:fill="92D05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747"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463" w:hRule="atLeast"/>
        </w:trPr>
        <w:tc>
          <w:tcPr>
            <w:tcW w:w="1250" w:type="dxa"/>
            <w:tcBorders>
              <w:top w:val="nil"/>
              <w:left w:val="single" w:color="auto" w:sz="4" w:space="0"/>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创业基础</w:t>
            </w:r>
          </w:p>
        </w:tc>
        <w:tc>
          <w:tcPr>
            <w:tcW w:w="1187"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职业发展与</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就业指导A</w:t>
            </w:r>
          </w:p>
        </w:tc>
        <w:tc>
          <w:tcPr>
            <w:tcW w:w="1173"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11"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职业发展与就业指导B</w:t>
            </w:r>
          </w:p>
        </w:tc>
        <w:tc>
          <w:tcPr>
            <w:tcW w:w="1388" w:type="dxa"/>
            <w:tcBorders>
              <w:top w:val="nil"/>
              <w:left w:val="nil"/>
              <w:bottom w:val="single" w:color="auto" w:sz="4" w:space="0"/>
              <w:right w:val="single" w:color="auto" w:sz="4" w:space="0"/>
            </w:tcBorders>
            <w:shd w:val="clear" w:color="000000" w:fill="92D05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社会组织</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创新与发展</w:t>
            </w:r>
          </w:p>
        </w:tc>
        <w:tc>
          <w:tcPr>
            <w:tcW w:w="1389"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11" w:type="dxa"/>
            <w:tcBorders>
              <w:top w:val="nil"/>
              <w:left w:val="nil"/>
              <w:bottom w:val="single" w:color="auto" w:sz="4" w:space="0"/>
              <w:right w:val="single" w:color="auto" w:sz="4" w:space="0"/>
            </w:tcBorders>
            <w:shd w:val="clear" w:color="000000" w:fill="92D05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志愿服务</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概论</w:t>
            </w:r>
          </w:p>
        </w:tc>
        <w:tc>
          <w:tcPr>
            <w:tcW w:w="747" w:type="dxa"/>
            <w:tcBorders>
              <w:top w:val="nil"/>
              <w:left w:val="nil"/>
              <w:bottom w:val="single" w:color="auto" w:sz="4" w:space="0"/>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bl>
    <w:p>
      <w:pPr>
        <w:rPr>
          <w:rFonts w:ascii="Times New Roman" w:hAnsi="Times New Roman" w:cs="Times New Roman"/>
          <w:sz w:val="28"/>
          <w:szCs w:val="28"/>
        </w:rPr>
      </w:pPr>
    </w:p>
    <w:p>
      <w:pPr>
        <w:rPr>
          <w:rFonts w:ascii="Times New Roman" w:hAnsi="Times New Roman" w:cs="Times New Roman"/>
          <w:sz w:val="22"/>
          <w:szCs w:val="28"/>
        </w:rPr>
      </w:pPr>
      <w:r>
        <w:rPr>
          <w:rFonts w:ascii="Times New Roman" w:hAnsi="Times New Roman" w:cs="Times New Roman"/>
          <w:sz w:val="22"/>
          <w:szCs w:val="28"/>
        </w:rPr>
        <w:t>注：学期5新增绩效管理。学期5选择与社保相同的项目管理与财务管理。</w:t>
      </w:r>
    </w:p>
    <w:p>
      <w:pPr>
        <w:rPr>
          <w:rFonts w:ascii="Times New Roman" w:hAnsi="Times New Roman" w:cs="Times New Roman"/>
          <w:sz w:val="22"/>
          <w:szCs w:val="28"/>
        </w:rPr>
      </w:pPr>
      <w:r>
        <w:rPr>
          <w:rFonts w:ascii="Times New Roman" w:hAnsi="Times New Roman" w:cs="Times New Roman"/>
          <w:sz w:val="22"/>
          <w:szCs w:val="28"/>
        </w:rPr>
        <w:t xml:space="preserve">    公共关系学在学期4。</w:t>
      </w:r>
    </w:p>
    <w:p>
      <w:pPr>
        <w:rPr>
          <w:rFonts w:ascii="Times New Roman" w:hAnsi="Times New Roman" w:cs="Times New Roman"/>
          <w:sz w:val="28"/>
          <w:szCs w:val="28"/>
        </w:rPr>
      </w:pPr>
    </w:p>
    <w:p>
      <w:pPr>
        <w:rPr>
          <w:rFonts w:ascii="Times New Roman" w:hAnsi="Times New Roman" w:cs="Times New Roman"/>
          <w:sz w:val="28"/>
          <w:szCs w:val="28"/>
        </w:rPr>
      </w:pPr>
    </w:p>
    <w:p>
      <w:pPr>
        <w:rPr>
          <w:rFonts w:ascii="Times New Roman" w:hAnsi="Times New Roman" w:cs="Times New Roman"/>
          <w:sz w:val="28"/>
          <w:szCs w:val="28"/>
        </w:rPr>
      </w:pPr>
      <w:r>
        <w:rPr>
          <w:rFonts w:ascii="Times New Roman" w:hAnsi="Times New Roman" w:cs="Times New Roman"/>
          <w:sz w:val="28"/>
          <w:szCs w:val="28"/>
        </w:rPr>
        <w:t>Modul 4</w:t>
      </w:r>
    </w:p>
    <w:tbl>
      <w:tblPr>
        <w:tblStyle w:val="6"/>
        <w:tblW w:w="9175" w:type="dxa"/>
        <w:tblInd w:w="-5" w:type="dxa"/>
        <w:tblLayout w:type="autofit"/>
        <w:tblCellMar>
          <w:top w:w="0" w:type="dxa"/>
          <w:left w:w="108" w:type="dxa"/>
          <w:bottom w:w="0" w:type="dxa"/>
          <w:right w:w="108" w:type="dxa"/>
        </w:tblCellMar>
      </w:tblPr>
      <w:tblGrid>
        <w:gridCol w:w="1134"/>
        <w:gridCol w:w="1244"/>
        <w:gridCol w:w="1166"/>
        <w:gridCol w:w="1154"/>
        <w:gridCol w:w="1256"/>
        <w:gridCol w:w="1276"/>
        <w:gridCol w:w="1134"/>
        <w:gridCol w:w="811"/>
      </w:tblGrid>
      <w:tr>
        <w:trPr>
          <w:trHeight w:val="277" w:hRule="atLeast"/>
        </w:trPr>
        <w:tc>
          <w:tcPr>
            <w:tcW w:w="2378"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一年级</w:t>
            </w:r>
          </w:p>
        </w:tc>
        <w:tc>
          <w:tcPr>
            <w:tcW w:w="2320"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二年级</w:t>
            </w:r>
          </w:p>
        </w:tc>
        <w:tc>
          <w:tcPr>
            <w:tcW w:w="2532"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三年级</w:t>
            </w:r>
          </w:p>
        </w:tc>
        <w:tc>
          <w:tcPr>
            <w:tcW w:w="1945"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四年级</w:t>
            </w:r>
          </w:p>
        </w:tc>
      </w:tr>
      <w:tr>
        <w:tblPrEx>
          <w:tblCellMar>
            <w:top w:w="0" w:type="dxa"/>
            <w:left w:w="108" w:type="dxa"/>
            <w:bottom w:w="0" w:type="dxa"/>
            <w:right w:w="108" w:type="dxa"/>
          </w:tblCellMar>
        </w:tblPrEx>
        <w:trPr>
          <w:trHeight w:val="277" w:hRule="atLeast"/>
        </w:trPr>
        <w:tc>
          <w:tcPr>
            <w:tcW w:w="1134"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学期1</w:t>
            </w:r>
          </w:p>
        </w:tc>
        <w:tc>
          <w:tcPr>
            <w:tcW w:w="124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学期2</w:t>
            </w:r>
          </w:p>
        </w:tc>
        <w:tc>
          <w:tcPr>
            <w:tcW w:w="1166"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学期3</w:t>
            </w:r>
          </w:p>
        </w:tc>
        <w:tc>
          <w:tcPr>
            <w:tcW w:w="115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学期4</w:t>
            </w:r>
          </w:p>
        </w:tc>
        <w:tc>
          <w:tcPr>
            <w:tcW w:w="1256"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学期5</w:t>
            </w:r>
          </w:p>
        </w:tc>
        <w:tc>
          <w:tcPr>
            <w:tcW w:w="1276"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学期6</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学期7</w:t>
            </w:r>
          </w:p>
        </w:tc>
        <w:tc>
          <w:tcPr>
            <w:tcW w:w="811" w:type="dxa"/>
            <w:tcBorders>
              <w:top w:val="nil"/>
              <w:left w:val="nil"/>
              <w:bottom w:val="single" w:color="auto" w:sz="4" w:space="0"/>
              <w:right w:val="single" w:color="auto" w:sz="4" w:space="0"/>
            </w:tcBorders>
            <w:shd w:val="clear" w:color="auto" w:fill="auto"/>
            <w:vAlign w:val="bottom"/>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学期8</w:t>
            </w:r>
          </w:p>
        </w:tc>
      </w:tr>
      <w:tr>
        <w:tblPrEx>
          <w:tblCellMar>
            <w:top w:w="0" w:type="dxa"/>
            <w:left w:w="108" w:type="dxa"/>
            <w:bottom w:w="0" w:type="dxa"/>
            <w:right w:w="108" w:type="dxa"/>
          </w:tblCellMar>
        </w:tblPrEx>
        <w:trPr>
          <w:trHeight w:val="727" w:hRule="atLeast"/>
        </w:trPr>
        <w:tc>
          <w:tcPr>
            <w:tcW w:w="1134"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思想道德</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修养与法律基础</w:t>
            </w:r>
          </w:p>
        </w:tc>
        <w:tc>
          <w:tcPr>
            <w:tcW w:w="124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中国近代史</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纲要</w:t>
            </w:r>
          </w:p>
        </w:tc>
        <w:tc>
          <w:tcPr>
            <w:tcW w:w="116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马克思主义原理</w:t>
            </w:r>
          </w:p>
        </w:tc>
        <w:tc>
          <w:tcPr>
            <w:tcW w:w="115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5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毛泽东思想和中国特色社会主义理论体系概论</w:t>
            </w:r>
          </w:p>
        </w:tc>
        <w:tc>
          <w:tcPr>
            <w:tcW w:w="127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毛泽东思想和中国特色社会主义理论体系概论</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毕业实习</w:t>
            </w:r>
          </w:p>
        </w:tc>
        <w:tc>
          <w:tcPr>
            <w:tcW w:w="811"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毕业</w:t>
            </w:r>
          </w:p>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设计</w:t>
            </w:r>
          </w:p>
        </w:tc>
      </w:tr>
      <w:tr>
        <w:tblPrEx>
          <w:tblCellMar>
            <w:top w:w="0" w:type="dxa"/>
            <w:left w:w="108" w:type="dxa"/>
            <w:bottom w:w="0" w:type="dxa"/>
            <w:right w:w="108" w:type="dxa"/>
          </w:tblCellMar>
        </w:tblPrEx>
        <w:trPr>
          <w:trHeight w:val="392" w:hRule="atLeast"/>
        </w:trPr>
        <w:tc>
          <w:tcPr>
            <w:tcW w:w="1134"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高等数学</w:t>
            </w:r>
          </w:p>
        </w:tc>
        <w:tc>
          <w:tcPr>
            <w:tcW w:w="124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6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线性代数</w:t>
            </w:r>
          </w:p>
        </w:tc>
        <w:tc>
          <w:tcPr>
            <w:tcW w:w="115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概率论与</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数理统计</w:t>
            </w:r>
          </w:p>
        </w:tc>
        <w:tc>
          <w:tcPr>
            <w:tcW w:w="125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7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811"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392" w:hRule="atLeast"/>
        </w:trPr>
        <w:tc>
          <w:tcPr>
            <w:tcW w:w="1134"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大学计算机基础</w:t>
            </w:r>
          </w:p>
        </w:tc>
        <w:tc>
          <w:tcPr>
            <w:tcW w:w="124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办公数据</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处理与分析</w:t>
            </w:r>
          </w:p>
        </w:tc>
        <w:tc>
          <w:tcPr>
            <w:tcW w:w="116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5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5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7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811"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277" w:hRule="atLeast"/>
        </w:trPr>
        <w:tc>
          <w:tcPr>
            <w:tcW w:w="1134"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政治学</w:t>
            </w:r>
          </w:p>
        </w:tc>
        <w:tc>
          <w:tcPr>
            <w:tcW w:w="124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6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5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5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7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811"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311" w:hRule="atLeast"/>
        </w:trPr>
        <w:tc>
          <w:tcPr>
            <w:tcW w:w="1134"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形势政治A</w:t>
            </w:r>
          </w:p>
        </w:tc>
        <w:tc>
          <w:tcPr>
            <w:tcW w:w="124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6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形势政治B</w:t>
            </w:r>
          </w:p>
        </w:tc>
        <w:tc>
          <w:tcPr>
            <w:tcW w:w="115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5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形势政治C</w:t>
            </w:r>
          </w:p>
        </w:tc>
        <w:tc>
          <w:tcPr>
            <w:tcW w:w="127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形势政治D</w:t>
            </w:r>
          </w:p>
        </w:tc>
        <w:tc>
          <w:tcPr>
            <w:tcW w:w="811"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392" w:hRule="atLeast"/>
        </w:trPr>
        <w:tc>
          <w:tcPr>
            <w:tcW w:w="1134"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大学英语</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基础A</w:t>
            </w:r>
          </w:p>
        </w:tc>
        <w:tc>
          <w:tcPr>
            <w:tcW w:w="124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大学英语</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基础B</w:t>
            </w:r>
          </w:p>
        </w:tc>
        <w:tc>
          <w:tcPr>
            <w:tcW w:w="116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大学英语</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拓展B</w:t>
            </w:r>
          </w:p>
        </w:tc>
        <w:tc>
          <w:tcPr>
            <w:tcW w:w="115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大学英语</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拓展A</w:t>
            </w:r>
          </w:p>
        </w:tc>
        <w:tc>
          <w:tcPr>
            <w:tcW w:w="125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7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811"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277" w:hRule="atLeast"/>
        </w:trPr>
        <w:tc>
          <w:tcPr>
            <w:tcW w:w="1134"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军事理论</w:t>
            </w:r>
          </w:p>
        </w:tc>
        <w:tc>
          <w:tcPr>
            <w:tcW w:w="124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军事理论</w:t>
            </w:r>
          </w:p>
        </w:tc>
        <w:tc>
          <w:tcPr>
            <w:tcW w:w="116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5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5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7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811"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277" w:hRule="atLeast"/>
        </w:trPr>
        <w:tc>
          <w:tcPr>
            <w:tcW w:w="1134"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大学语文A</w:t>
            </w:r>
          </w:p>
        </w:tc>
        <w:tc>
          <w:tcPr>
            <w:tcW w:w="124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大学语文B</w:t>
            </w:r>
          </w:p>
        </w:tc>
        <w:tc>
          <w:tcPr>
            <w:tcW w:w="116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5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5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7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811"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277" w:hRule="atLeast"/>
        </w:trPr>
        <w:tc>
          <w:tcPr>
            <w:tcW w:w="1134" w:type="dxa"/>
            <w:tcBorders>
              <w:top w:val="nil"/>
              <w:left w:val="single" w:color="auto" w:sz="4" w:space="0"/>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体育</w:t>
            </w:r>
          </w:p>
        </w:tc>
        <w:tc>
          <w:tcPr>
            <w:tcW w:w="124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体育</w:t>
            </w:r>
          </w:p>
        </w:tc>
        <w:tc>
          <w:tcPr>
            <w:tcW w:w="116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体育</w:t>
            </w:r>
          </w:p>
        </w:tc>
        <w:tc>
          <w:tcPr>
            <w:tcW w:w="115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体育</w:t>
            </w:r>
          </w:p>
        </w:tc>
        <w:tc>
          <w:tcPr>
            <w:tcW w:w="125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76"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FABF8F"/>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811"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542" w:hRule="atLeast"/>
        </w:trPr>
        <w:tc>
          <w:tcPr>
            <w:tcW w:w="1134"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44"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社会统计学</w:t>
            </w:r>
          </w:p>
        </w:tc>
        <w:tc>
          <w:tcPr>
            <w:tcW w:w="1166"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社会调查</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方法</w:t>
            </w:r>
          </w:p>
        </w:tc>
        <w:tc>
          <w:tcPr>
            <w:tcW w:w="115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56"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76"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电子政务</w:t>
            </w:r>
          </w:p>
        </w:tc>
        <w:tc>
          <w:tcPr>
            <w:tcW w:w="811"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277" w:hRule="atLeast"/>
        </w:trPr>
        <w:tc>
          <w:tcPr>
            <w:tcW w:w="1134"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44"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社会学</w:t>
            </w:r>
          </w:p>
        </w:tc>
        <w:tc>
          <w:tcPr>
            <w:tcW w:w="1166"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5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56"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76"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社会心理学</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导论</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811"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277" w:hRule="atLeast"/>
        </w:trPr>
        <w:tc>
          <w:tcPr>
            <w:tcW w:w="1134"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44"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经济学原理</w:t>
            </w:r>
          </w:p>
        </w:tc>
        <w:tc>
          <w:tcPr>
            <w:tcW w:w="1166"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5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56"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76"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发展经济学</w:t>
            </w:r>
          </w:p>
        </w:tc>
        <w:tc>
          <w:tcPr>
            <w:tcW w:w="811"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565" w:hRule="atLeast"/>
        </w:trPr>
        <w:tc>
          <w:tcPr>
            <w:tcW w:w="1134"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4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66"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人力资源</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管理</w:t>
            </w:r>
          </w:p>
        </w:tc>
        <w:tc>
          <w:tcPr>
            <w:tcW w:w="1154" w:type="dxa"/>
            <w:tcBorders>
              <w:top w:val="single" w:color="auto" w:sz="4" w:space="0"/>
              <w:left w:val="nil"/>
              <w:bottom w:val="single" w:color="auto" w:sz="4" w:space="0"/>
              <w:right w:val="nil"/>
            </w:tcBorders>
            <w:shd w:val="clear" w:color="auto" w:fill="auto"/>
            <w:noWrap/>
            <w:vAlign w:val="bottom"/>
          </w:tcPr>
          <w:p>
            <w:pPr>
              <w:widowControl/>
              <w:jc w:val="center"/>
              <w:rPr>
                <w:rFonts w:ascii="Times New Roman" w:hAnsi="Times New Roman" w:eastAsia="宋体" w:cs="Times New Roman"/>
                <w:color w:val="000000"/>
                <w:kern w:val="0"/>
                <w:sz w:val="16"/>
                <w:szCs w:val="16"/>
                <w:lang w:val="en-US"/>
              </w:rPr>
            </w:pPr>
          </w:p>
        </w:tc>
        <w:tc>
          <w:tcPr>
            <w:tcW w:w="1256"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76"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公务员制度</w:t>
            </w:r>
          </w:p>
        </w:tc>
        <w:tc>
          <w:tcPr>
            <w:tcW w:w="1134" w:type="dxa"/>
            <w:tcBorders>
              <w:top w:val="nil"/>
              <w:left w:val="nil"/>
              <w:bottom w:val="single" w:color="auto" w:sz="4" w:space="0"/>
              <w:right w:val="single" w:color="auto" w:sz="4" w:space="0"/>
            </w:tcBorders>
            <w:shd w:val="clear" w:color="000000" w:fill="FFFF0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薪酬管理</w:t>
            </w:r>
          </w:p>
        </w:tc>
        <w:tc>
          <w:tcPr>
            <w:tcW w:w="811"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392" w:hRule="atLeast"/>
        </w:trPr>
        <w:tc>
          <w:tcPr>
            <w:tcW w:w="1134"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4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66" w:type="dxa"/>
            <w:tcBorders>
              <w:top w:val="nil"/>
              <w:left w:val="nil"/>
              <w:bottom w:val="single" w:color="auto" w:sz="4" w:space="0"/>
              <w:right w:val="single" w:color="auto" w:sz="4" w:space="0"/>
            </w:tcBorders>
            <w:shd w:val="clear" w:color="000000" w:fill="92D05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公共部门人力资源管理</w:t>
            </w:r>
          </w:p>
        </w:tc>
        <w:tc>
          <w:tcPr>
            <w:tcW w:w="1154" w:type="dxa"/>
            <w:tcBorders>
              <w:top w:val="single" w:color="auto" w:sz="4" w:space="0"/>
              <w:left w:val="nil"/>
              <w:bottom w:val="nil"/>
              <w:right w:val="nil"/>
            </w:tcBorders>
            <w:shd w:val="clear" w:color="auto" w:fill="auto"/>
            <w:noWrap/>
            <w:vAlign w:val="bottom"/>
          </w:tcPr>
          <w:p>
            <w:pPr>
              <w:widowControl/>
              <w:jc w:val="center"/>
              <w:rPr>
                <w:rFonts w:ascii="Times New Roman" w:hAnsi="Times New Roman" w:eastAsia="宋体" w:cs="Times New Roman"/>
                <w:color w:val="000000"/>
                <w:kern w:val="0"/>
                <w:sz w:val="16"/>
                <w:szCs w:val="16"/>
                <w:lang w:val="en-US"/>
              </w:rPr>
            </w:pPr>
          </w:p>
        </w:tc>
        <w:tc>
          <w:tcPr>
            <w:tcW w:w="1256" w:type="dxa"/>
            <w:tcBorders>
              <w:top w:val="nil"/>
              <w:left w:val="single" w:color="auto" w:sz="4" w:space="0"/>
              <w:bottom w:val="single" w:color="auto" w:sz="4" w:space="0"/>
              <w:right w:val="single" w:color="auto" w:sz="4" w:space="0"/>
            </w:tcBorders>
            <w:shd w:val="clear" w:color="000000" w:fill="FFFF0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公共项目管理</w:t>
            </w:r>
          </w:p>
        </w:tc>
        <w:tc>
          <w:tcPr>
            <w:tcW w:w="1276" w:type="dxa"/>
            <w:tcBorders>
              <w:top w:val="nil"/>
              <w:left w:val="nil"/>
              <w:bottom w:val="single" w:color="auto" w:sz="4" w:space="0"/>
              <w:right w:val="single" w:color="auto" w:sz="4" w:space="0"/>
            </w:tcBorders>
            <w:shd w:val="clear" w:color="000000" w:fill="FFFF0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公共关系学</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(学期不同)</w:t>
            </w:r>
          </w:p>
        </w:tc>
        <w:tc>
          <w:tcPr>
            <w:tcW w:w="1134" w:type="dxa"/>
            <w:tcBorders>
              <w:top w:val="nil"/>
              <w:left w:val="nil"/>
              <w:bottom w:val="single" w:color="auto" w:sz="4" w:space="0"/>
              <w:right w:val="single" w:color="auto" w:sz="4" w:space="0"/>
            </w:tcBorders>
            <w:shd w:val="clear" w:color="000000" w:fill="92D05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市政管理学</w:t>
            </w:r>
          </w:p>
        </w:tc>
        <w:tc>
          <w:tcPr>
            <w:tcW w:w="811"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392" w:hRule="atLeast"/>
        </w:trPr>
        <w:tc>
          <w:tcPr>
            <w:tcW w:w="1134" w:type="dxa"/>
            <w:tcBorders>
              <w:top w:val="nil"/>
              <w:left w:val="single" w:color="auto" w:sz="4" w:space="0"/>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管理学</w:t>
            </w:r>
          </w:p>
        </w:tc>
        <w:tc>
          <w:tcPr>
            <w:tcW w:w="124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66"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公共管理学</w:t>
            </w:r>
          </w:p>
        </w:tc>
        <w:tc>
          <w:tcPr>
            <w:tcW w:w="1154" w:type="dxa"/>
            <w:tcBorders>
              <w:top w:val="single" w:color="auto" w:sz="4" w:space="0"/>
              <w:left w:val="nil"/>
              <w:bottom w:val="single" w:color="auto" w:sz="4" w:space="0"/>
              <w:right w:val="single" w:color="auto" w:sz="4" w:space="0"/>
            </w:tcBorders>
            <w:shd w:val="clear" w:color="000000" w:fill="92D05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行政管理学</w:t>
            </w:r>
          </w:p>
        </w:tc>
        <w:tc>
          <w:tcPr>
            <w:tcW w:w="1256" w:type="dxa"/>
            <w:tcBorders>
              <w:top w:val="nil"/>
              <w:left w:val="nil"/>
              <w:bottom w:val="single" w:color="auto" w:sz="4" w:space="0"/>
              <w:right w:val="single" w:color="auto" w:sz="4" w:space="0"/>
            </w:tcBorders>
            <w:shd w:val="clear" w:color="000000" w:fill="92D05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公共管理外语</w:t>
            </w:r>
          </w:p>
        </w:tc>
        <w:tc>
          <w:tcPr>
            <w:tcW w:w="1276"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公共政策分析</w:t>
            </w:r>
          </w:p>
        </w:tc>
        <w:tc>
          <w:tcPr>
            <w:tcW w:w="1134" w:type="dxa"/>
            <w:tcBorders>
              <w:top w:val="nil"/>
              <w:left w:val="nil"/>
              <w:bottom w:val="single" w:color="auto" w:sz="4" w:space="0"/>
              <w:right w:val="single" w:color="auto" w:sz="4" w:space="0"/>
            </w:tcBorders>
            <w:shd w:val="clear" w:color="000000" w:fill="92D05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公共管理</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学术前沿</w:t>
            </w:r>
          </w:p>
        </w:tc>
        <w:tc>
          <w:tcPr>
            <w:tcW w:w="811"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392" w:hRule="atLeast"/>
        </w:trPr>
        <w:tc>
          <w:tcPr>
            <w:tcW w:w="1134"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244"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66" w:type="dxa"/>
            <w:tcBorders>
              <w:top w:val="nil"/>
              <w:left w:val="nil"/>
              <w:bottom w:val="single" w:color="auto" w:sz="4" w:space="0"/>
              <w:right w:val="single" w:color="auto" w:sz="4" w:space="0"/>
            </w:tcBorders>
            <w:shd w:val="clear" w:color="000000" w:fill="92D05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非营利组织管理</w:t>
            </w:r>
          </w:p>
        </w:tc>
        <w:tc>
          <w:tcPr>
            <w:tcW w:w="1154" w:type="dxa"/>
            <w:tcBorders>
              <w:top w:val="nil"/>
              <w:left w:val="nil"/>
              <w:bottom w:val="single" w:color="auto" w:sz="4" w:space="0"/>
              <w:right w:val="single" w:color="auto" w:sz="4" w:space="0"/>
            </w:tcBorders>
            <w:shd w:val="clear" w:color="000000" w:fill="92D05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社会组织</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运营与管理</w:t>
            </w:r>
          </w:p>
        </w:tc>
        <w:tc>
          <w:tcPr>
            <w:tcW w:w="1256" w:type="dxa"/>
            <w:tcBorders>
              <w:top w:val="nil"/>
              <w:left w:val="nil"/>
              <w:bottom w:val="single" w:color="auto" w:sz="4" w:space="0"/>
              <w:right w:val="single" w:color="auto" w:sz="4" w:space="0"/>
            </w:tcBorders>
            <w:shd w:val="clear" w:color="000000" w:fill="92D05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公共经济学</w:t>
            </w:r>
          </w:p>
        </w:tc>
        <w:tc>
          <w:tcPr>
            <w:tcW w:w="1276" w:type="dxa"/>
            <w:tcBorders>
              <w:top w:val="nil"/>
              <w:left w:val="nil"/>
              <w:bottom w:val="single" w:color="auto" w:sz="4" w:space="0"/>
              <w:right w:val="single" w:color="auto" w:sz="4" w:space="0"/>
            </w:tcBorders>
            <w:shd w:val="clear" w:color="000000" w:fill="92D05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公共组织学</w:t>
            </w:r>
          </w:p>
        </w:tc>
        <w:tc>
          <w:tcPr>
            <w:tcW w:w="1134" w:type="dxa"/>
            <w:tcBorders>
              <w:top w:val="nil"/>
              <w:left w:val="nil"/>
              <w:bottom w:val="single" w:color="auto" w:sz="4" w:space="0"/>
              <w:right w:val="single" w:color="auto" w:sz="4" w:space="0"/>
            </w:tcBorders>
            <w:shd w:val="clear" w:color="000000" w:fill="92D05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社区管理</w:t>
            </w:r>
          </w:p>
        </w:tc>
        <w:tc>
          <w:tcPr>
            <w:tcW w:w="811"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392" w:hRule="atLeast"/>
        </w:trPr>
        <w:tc>
          <w:tcPr>
            <w:tcW w:w="1134" w:type="dxa"/>
            <w:tcBorders>
              <w:top w:val="nil"/>
              <w:left w:val="single" w:color="auto" w:sz="4" w:space="0"/>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心理健康</w:t>
            </w:r>
          </w:p>
        </w:tc>
        <w:tc>
          <w:tcPr>
            <w:tcW w:w="1244"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心理健康</w:t>
            </w:r>
          </w:p>
        </w:tc>
        <w:tc>
          <w:tcPr>
            <w:tcW w:w="1166" w:type="dxa"/>
            <w:tcBorders>
              <w:top w:val="nil"/>
              <w:left w:val="nil"/>
              <w:bottom w:val="single" w:color="auto" w:sz="4" w:space="0"/>
              <w:right w:val="single" w:color="auto" w:sz="4" w:space="0"/>
            </w:tcBorders>
            <w:shd w:val="clear" w:color="000000" w:fill="92D05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公共管理</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法律基础</w:t>
            </w:r>
          </w:p>
        </w:tc>
        <w:tc>
          <w:tcPr>
            <w:tcW w:w="1154" w:type="dxa"/>
            <w:tcBorders>
              <w:top w:val="nil"/>
              <w:left w:val="nil"/>
              <w:bottom w:val="single" w:color="auto" w:sz="4" w:space="0"/>
              <w:right w:val="single" w:color="auto" w:sz="4" w:space="0"/>
            </w:tcBorders>
            <w:shd w:val="clear" w:color="000000" w:fill="92D05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公共事业</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管理学</w:t>
            </w:r>
          </w:p>
        </w:tc>
        <w:tc>
          <w:tcPr>
            <w:tcW w:w="1256" w:type="dxa"/>
            <w:tcBorders>
              <w:top w:val="nil"/>
              <w:left w:val="nil"/>
              <w:bottom w:val="single" w:color="auto" w:sz="4" w:space="0"/>
              <w:right w:val="single" w:color="auto" w:sz="4" w:space="0"/>
            </w:tcBorders>
            <w:shd w:val="clear" w:color="000000" w:fill="FFFF0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公共组织</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财务管理学</w:t>
            </w:r>
          </w:p>
        </w:tc>
        <w:tc>
          <w:tcPr>
            <w:tcW w:w="1276"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92D05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811" w:type="dxa"/>
            <w:tcBorders>
              <w:top w:val="nil"/>
              <w:left w:val="nil"/>
              <w:bottom w:val="nil"/>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r>
        <w:tblPrEx>
          <w:tblCellMar>
            <w:top w:w="0" w:type="dxa"/>
            <w:left w:w="108" w:type="dxa"/>
            <w:bottom w:w="0" w:type="dxa"/>
            <w:right w:w="108" w:type="dxa"/>
          </w:tblCellMar>
        </w:tblPrEx>
        <w:trPr>
          <w:trHeight w:val="392" w:hRule="atLeast"/>
        </w:trPr>
        <w:tc>
          <w:tcPr>
            <w:tcW w:w="1134" w:type="dxa"/>
            <w:tcBorders>
              <w:top w:val="nil"/>
              <w:left w:val="single" w:color="auto" w:sz="4" w:space="0"/>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创业基础</w:t>
            </w:r>
          </w:p>
        </w:tc>
        <w:tc>
          <w:tcPr>
            <w:tcW w:w="1244"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职业发展与</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就业指导A</w:t>
            </w:r>
          </w:p>
        </w:tc>
        <w:tc>
          <w:tcPr>
            <w:tcW w:w="1166"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54" w:type="dxa"/>
            <w:tcBorders>
              <w:top w:val="nil"/>
              <w:left w:val="nil"/>
              <w:bottom w:val="single" w:color="auto" w:sz="4" w:space="0"/>
              <w:right w:val="single" w:color="auto" w:sz="4" w:space="0"/>
            </w:tcBorders>
            <w:shd w:val="clear" w:color="000000" w:fill="D9D9D9"/>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职业发展与就业指导B</w:t>
            </w:r>
          </w:p>
        </w:tc>
        <w:tc>
          <w:tcPr>
            <w:tcW w:w="1256" w:type="dxa"/>
            <w:tcBorders>
              <w:top w:val="nil"/>
              <w:left w:val="nil"/>
              <w:bottom w:val="single" w:color="auto" w:sz="4" w:space="0"/>
              <w:right w:val="single" w:color="auto" w:sz="4" w:space="0"/>
            </w:tcBorders>
            <w:shd w:val="clear" w:color="000000" w:fill="92D05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社会组织</w:t>
            </w:r>
          </w:p>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创新与发展</w:t>
            </w:r>
          </w:p>
        </w:tc>
        <w:tc>
          <w:tcPr>
            <w:tcW w:w="1276" w:type="dxa"/>
            <w:tcBorders>
              <w:top w:val="nil"/>
              <w:left w:val="nil"/>
              <w:bottom w:val="single" w:color="auto" w:sz="4" w:space="0"/>
              <w:right w:val="single" w:color="auto" w:sz="4" w:space="0"/>
            </w:tcBorders>
            <w:shd w:val="clear" w:color="auto" w:fill="auto"/>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c>
          <w:tcPr>
            <w:tcW w:w="1134" w:type="dxa"/>
            <w:tcBorders>
              <w:top w:val="nil"/>
              <w:left w:val="nil"/>
              <w:bottom w:val="single" w:color="auto" w:sz="4" w:space="0"/>
              <w:right w:val="single" w:color="auto" w:sz="4" w:space="0"/>
            </w:tcBorders>
            <w:shd w:val="clear" w:color="000000" w:fill="92D050"/>
            <w:vAlign w:val="bottom"/>
          </w:tcPr>
          <w:p>
            <w:pPr>
              <w:widowControl/>
              <w:jc w:val="center"/>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志愿服务概论</w:t>
            </w:r>
          </w:p>
        </w:tc>
        <w:tc>
          <w:tcPr>
            <w:tcW w:w="811" w:type="dxa"/>
            <w:tcBorders>
              <w:top w:val="nil"/>
              <w:left w:val="nil"/>
              <w:bottom w:val="single" w:color="auto" w:sz="4" w:space="0"/>
              <w:right w:val="single" w:color="auto" w:sz="4" w:space="0"/>
            </w:tcBorders>
            <w:shd w:val="clear" w:color="000000" w:fill="FFC000"/>
            <w:vAlign w:val="center"/>
          </w:tcPr>
          <w:p>
            <w:pPr>
              <w:widowControl/>
              <w:jc w:val="left"/>
              <w:rPr>
                <w:rFonts w:ascii="Times New Roman" w:hAnsi="Times New Roman" w:eastAsia="宋体" w:cs="Times New Roman"/>
                <w:color w:val="000000"/>
                <w:kern w:val="0"/>
                <w:sz w:val="16"/>
                <w:szCs w:val="16"/>
                <w:lang w:val="en-US"/>
              </w:rPr>
            </w:pPr>
            <w:r>
              <w:rPr>
                <w:rFonts w:ascii="Times New Roman" w:hAnsi="Times New Roman" w:eastAsia="宋体" w:cs="Times New Roman"/>
                <w:color w:val="000000"/>
                <w:kern w:val="0"/>
                <w:sz w:val="16"/>
                <w:szCs w:val="16"/>
                <w:lang w:val="en-US"/>
              </w:rPr>
              <w:t>　</w:t>
            </w:r>
          </w:p>
        </w:tc>
      </w:tr>
    </w:tbl>
    <w:p>
      <w:pPr>
        <w:rPr>
          <w:rFonts w:ascii="Times New Roman" w:hAnsi="Times New Roman" w:cs="Times New Roman"/>
          <w:sz w:val="20"/>
          <w:szCs w:val="28"/>
        </w:rPr>
      </w:pPr>
      <w:r>
        <w:rPr>
          <w:rFonts w:ascii="Times New Roman" w:hAnsi="Times New Roman" w:cs="Times New Roman"/>
          <w:sz w:val="20"/>
          <w:szCs w:val="28"/>
        </w:rPr>
        <w:t>注：学期7新增薪酬管理。公共关系学在学期6</w:t>
      </w:r>
    </w:p>
    <w:p>
      <w:pPr>
        <w:rPr>
          <w:rFonts w:ascii="Times New Roman" w:hAnsi="Times New Roman" w:cs="Times New Roman"/>
          <w:sz w:val="28"/>
          <w:szCs w:val="28"/>
        </w:rPr>
      </w:pPr>
    </w:p>
    <w:p>
      <w:pPr>
        <w:rPr>
          <w:rFonts w:ascii="Times New Roman" w:hAnsi="Times New Roman" w:cs="Times New Roman"/>
          <w:sz w:val="28"/>
          <w:szCs w:val="28"/>
        </w:rPr>
      </w:pPr>
    </w:p>
    <w:p>
      <w:pPr>
        <w:rPr>
          <w:rFonts w:ascii="Times New Roman" w:hAnsi="Times New Roman" w:cs="Times New Roman"/>
          <w:sz w:val="28"/>
          <w:szCs w:val="28"/>
        </w:rPr>
      </w:pPr>
    </w:p>
    <w:p>
      <w:pPr>
        <w:spacing w:line="360" w:lineRule="auto"/>
        <w:rPr>
          <w:rFonts w:ascii="Times New Roman" w:hAnsi="Times New Roman" w:cs="Times New Roman"/>
          <w:b/>
          <w:sz w:val="32"/>
          <w:szCs w:val="24"/>
        </w:rPr>
      </w:pPr>
      <w:r>
        <w:rPr>
          <w:rFonts w:hint="eastAsia" w:ascii="Times New Roman" w:hAnsi="Times New Roman" w:cs="Times New Roman"/>
          <w:b/>
          <w:sz w:val="32"/>
          <w:szCs w:val="24"/>
        </w:rPr>
        <w:t>公共管理系情况总体说明</w:t>
      </w:r>
    </w:p>
    <w:p>
      <w:pPr>
        <w:spacing w:line="360" w:lineRule="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劳动与社会保障、公共事业管理是公共管理类下两个细分专业。</w:t>
      </w:r>
    </w:p>
    <w:p>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自2019年开始本校采取大类招生，以公共管理类进行招生工作。</w:t>
      </w:r>
    </w:p>
    <w:p>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劳动与社会保障、公共事业管理两专业是公共管理硕士学位授权点（MPA）的重要依托专业。</w:t>
      </w:r>
      <w:r>
        <w:rPr>
          <w:rFonts w:ascii="Times New Roman" w:hAnsi="Times New Roman" w:cs="Times New Roman"/>
          <w:sz w:val="24"/>
          <w:szCs w:val="24"/>
        </w:rPr>
        <w:t>师资力量强，现有：</w:t>
      </w:r>
    </w:p>
    <w:tbl>
      <w:tblPr>
        <w:tblStyle w:val="14"/>
        <w:tblW w:w="0" w:type="auto"/>
        <w:jc w:val="center"/>
        <w:tblLayout w:type="autofit"/>
        <w:tblCellMar>
          <w:top w:w="0" w:type="dxa"/>
          <w:left w:w="108" w:type="dxa"/>
          <w:bottom w:w="0" w:type="dxa"/>
          <w:right w:w="108" w:type="dxa"/>
        </w:tblCellMar>
      </w:tblPr>
      <w:tblGrid>
        <w:gridCol w:w="5193"/>
      </w:tblGrid>
      <w:tr>
        <w:tblPrEx>
          <w:tblCellMar>
            <w:top w:w="0" w:type="dxa"/>
            <w:left w:w="108" w:type="dxa"/>
            <w:bottom w:w="0" w:type="dxa"/>
            <w:right w:w="108" w:type="dxa"/>
          </w:tblCellMar>
        </w:tblPrEx>
        <w:trPr>
          <w:trHeight w:val="442" w:hRule="atLeast"/>
          <w:jc w:val="center"/>
        </w:trPr>
        <w:tc>
          <w:tcPr>
            <w:tcW w:w="5193" w:type="dxa"/>
          </w:tcPr>
          <w:p>
            <w:pPr>
              <w:spacing w:line="360" w:lineRule="auto"/>
              <w:rPr>
                <w:rFonts w:ascii="Times New Roman" w:hAnsi="Times New Roman" w:cs="Times New Roman"/>
                <w:b/>
                <w:bCs/>
                <w:sz w:val="24"/>
                <w:szCs w:val="24"/>
              </w:rPr>
            </w:pPr>
          </w:p>
        </w:tc>
      </w:tr>
      <w:tr>
        <w:tblPrEx>
          <w:tblCellMar>
            <w:top w:w="0" w:type="dxa"/>
            <w:left w:w="108" w:type="dxa"/>
            <w:bottom w:w="0" w:type="dxa"/>
            <w:right w:w="108" w:type="dxa"/>
          </w:tblCellMar>
        </w:tblPrEx>
        <w:trPr>
          <w:trHeight w:val="442" w:hRule="atLeast"/>
          <w:jc w:val="center"/>
        </w:trPr>
        <w:tc>
          <w:tcPr>
            <w:tcW w:w="5193" w:type="dxa"/>
            <w:shd w:val="clear" w:color="auto" w:fill="F1F1F1" w:themeFill="background1" w:themeFillShade="F2"/>
          </w:tcPr>
          <w:p>
            <w:pPr>
              <w:spacing w:line="360" w:lineRule="auto"/>
              <w:rPr>
                <w:rFonts w:ascii="Times New Roman" w:hAnsi="Times New Roman" w:cs="Times New Roman"/>
                <w:b/>
                <w:bCs/>
                <w:sz w:val="24"/>
                <w:szCs w:val="24"/>
              </w:rPr>
            </w:pPr>
            <w:r>
              <w:rPr>
                <w:rFonts w:ascii="Times New Roman" w:hAnsi="Times New Roman" w:cs="Times New Roman"/>
                <w:b/>
                <w:bCs/>
                <w:sz w:val="24"/>
                <w:szCs w:val="24"/>
              </w:rPr>
              <w:t>河北省首批青年拔尖人才1名；</w:t>
            </w:r>
          </w:p>
        </w:tc>
      </w:tr>
      <w:tr>
        <w:tblPrEx>
          <w:tblCellMar>
            <w:top w:w="0" w:type="dxa"/>
            <w:left w:w="108" w:type="dxa"/>
            <w:bottom w:w="0" w:type="dxa"/>
            <w:right w:w="108" w:type="dxa"/>
          </w:tblCellMar>
        </w:tblPrEx>
        <w:trPr>
          <w:trHeight w:val="442" w:hRule="atLeast"/>
          <w:jc w:val="center"/>
        </w:trPr>
        <w:tc>
          <w:tcPr>
            <w:tcW w:w="5193" w:type="dxa"/>
          </w:tcPr>
          <w:p>
            <w:pPr>
              <w:spacing w:line="360" w:lineRule="auto"/>
              <w:rPr>
                <w:rFonts w:ascii="Times New Roman" w:hAnsi="Times New Roman" w:cs="Times New Roman"/>
                <w:b/>
                <w:bCs/>
                <w:sz w:val="24"/>
                <w:szCs w:val="24"/>
              </w:rPr>
            </w:pPr>
            <w:r>
              <w:rPr>
                <w:rFonts w:ascii="Times New Roman" w:hAnsi="Times New Roman" w:cs="Times New Roman"/>
                <w:b/>
                <w:bCs/>
                <w:sz w:val="24"/>
                <w:szCs w:val="24"/>
              </w:rPr>
              <w:t>河北省教育厅青年拔尖人才2名；</w:t>
            </w:r>
          </w:p>
        </w:tc>
      </w:tr>
      <w:tr>
        <w:tblPrEx>
          <w:tblCellMar>
            <w:top w:w="0" w:type="dxa"/>
            <w:left w:w="108" w:type="dxa"/>
            <w:bottom w:w="0" w:type="dxa"/>
            <w:right w:w="108" w:type="dxa"/>
          </w:tblCellMar>
        </w:tblPrEx>
        <w:trPr>
          <w:trHeight w:val="442" w:hRule="atLeast"/>
          <w:jc w:val="center"/>
        </w:trPr>
        <w:tc>
          <w:tcPr>
            <w:tcW w:w="5193" w:type="dxa"/>
            <w:shd w:val="clear" w:color="auto" w:fill="F1F1F1" w:themeFill="background1" w:themeFillShade="F2"/>
          </w:tcPr>
          <w:p>
            <w:pPr>
              <w:spacing w:line="360" w:lineRule="auto"/>
              <w:rPr>
                <w:rFonts w:ascii="Times New Roman" w:hAnsi="Times New Roman" w:cs="Times New Roman"/>
                <w:b/>
                <w:bCs/>
                <w:sz w:val="24"/>
                <w:szCs w:val="24"/>
              </w:rPr>
            </w:pPr>
            <w:r>
              <w:rPr>
                <w:rFonts w:ascii="Times New Roman" w:hAnsi="Times New Roman" w:cs="Times New Roman"/>
                <w:b/>
                <w:bCs/>
                <w:sz w:val="24"/>
                <w:szCs w:val="24"/>
              </w:rPr>
              <w:t>河北省教育厅优秀青年1名；</w:t>
            </w:r>
          </w:p>
        </w:tc>
      </w:tr>
      <w:tr>
        <w:tblPrEx>
          <w:tblCellMar>
            <w:top w:w="0" w:type="dxa"/>
            <w:left w:w="108" w:type="dxa"/>
            <w:bottom w:w="0" w:type="dxa"/>
            <w:right w:w="108" w:type="dxa"/>
          </w:tblCellMar>
        </w:tblPrEx>
        <w:trPr>
          <w:trHeight w:val="442" w:hRule="atLeast"/>
          <w:jc w:val="center"/>
        </w:trPr>
        <w:tc>
          <w:tcPr>
            <w:tcW w:w="5193" w:type="dxa"/>
          </w:tcPr>
          <w:p>
            <w:pPr>
              <w:spacing w:line="360" w:lineRule="auto"/>
              <w:rPr>
                <w:rFonts w:ascii="Times New Roman" w:hAnsi="Times New Roman" w:cs="Times New Roman"/>
                <w:b/>
                <w:bCs/>
                <w:sz w:val="24"/>
                <w:szCs w:val="24"/>
              </w:rPr>
            </w:pPr>
            <w:r>
              <w:rPr>
                <w:rFonts w:ascii="Times New Roman" w:hAnsi="Times New Roman" w:cs="Times New Roman"/>
                <w:b/>
                <w:bCs/>
                <w:sz w:val="24"/>
                <w:szCs w:val="24"/>
              </w:rPr>
              <w:t>博士后1名；</w:t>
            </w:r>
          </w:p>
        </w:tc>
      </w:tr>
      <w:tr>
        <w:tblPrEx>
          <w:tblCellMar>
            <w:top w:w="0" w:type="dxa"/>
            <w:left w:w="108" w:type="dxa"/>
            <w:bottom w:w="0" w:type="dxa"/>
            <w:right w:w="108" w:type="dxa"/>
          </w:tblCellMar>
        </w:tblPrEx>
        <w:trPr>
          <w:trHeight w:val="442" w:hRule="atLeast"/>
          <w:jc w:val="center"/>
        </w:trPr>
        <w:tc>
          <w:tcPr>
            <w:tcW w:w="5193" w:type="dxa"/>
            <w:shd w:val="clear" w:color="auto" w:fill="F1F1F1" w:themeFill="background1" w:themeFillShade="F2"/>
          </w:tcPr>
          <w:p>
            <w:pPr>
              <w:spacing w:line="360" w:lineRule="auto"/>
              <w:rPr>
                <w:rFonts w:ascii="Times New Roman" w:hAnsi="Times New Roman" w:cs="Times New Roman"/>
                <w:b/>
                <w:bCs/>
                <w:sz w:val="24"/>
                <w:szCs w:val="24"/>
              </w:rPr>
            </w:pPr>
            <w:r>
              <w:rPr>
                <w:rFonts w:ascii="Times New Roman" w:hAnsi="Times New Roman" w:cs="Times New Roman"/>
                <w:b/>
                <w:bCs/>
                <w:sz w:val="24"/>
                <w:szCs w:val="24"/>
              </w:rPr>
              <w:t>80%以上教师获得博士学位；</w:t>
            </w:r>
          </w:p>
        </w:tc>
      </w:tr>
      <w:tr>
        <w:tblPrEx>
          <w:tblCellMar>
            <w:top w:w="0" w:type="dxa"/>
            <w:left w:w="108" w:type="dxa"/>
            <w:bottom w:w="0" w:type="dxa"/>
            <w:right w:w="108" w:type="dxa"/>
          </w:tblCellMar>
        </w:tblPrEx>
        <w:trPr>
          <w:trHeight w:val="442" w:hRule="atLeast"/>
          <w:jc w:val="center"/>
        </w:trPr>
        <w:tc>
          <w:tcPr>
            <w:tcW w:w="5193" w:type="dxa"/>
          </w:tcPr>
          <w:p>
            <w:pPr>
              <w:spacing w:line="360" w:lineRule="auto"/>
              <w:rPr>
                <w:rFonts w:ascii="Times New Roman" w:hAnsi="Times New Roman" w:cs="Times New Roman"/>
                <w:b/>
                <w:bCs/>
                <w:sz w:val="24"/>
                <w:szCs w:val="24"/>
              </w:rPr>
            </w:pPr>
            <w:r>
              <w:rPr>
                <w:rFonts w:ascii="Times New Roman" w:hAnsi="Times New Roman" w:cs="Times New Roman"/>
                <w:b/>
                <w:bCs/>
                <w:sz w:val="24"/>
                <w:szCs w:val="24"/>
              </w:rPr>
              <w:t>专业课授课教师中，教授4名，副教授6名。</w:t>
            </w:r>
          </w:p>
        </w:tc>
      </w:tr>
      <w:tr>
        <w:tblPrEx>
          <w:tblCellMar>
            <w:top w:w="0" w:type="dxa"/>
            <w:left w:w="108" w:type="dxa"/>
            <w:bottom w:w="0" w:type="dxa"/>
            <w:right w:w="108" w:type="dxa"/>
          </w:tblCellMar>
        </w:tblPrEx>
        <w:trPr>
          <w:trHeight w:val="442" w:hRule="atLeast"/>
          <w:jc w:val="center"/>
        </w:trPr>
        <w:tc>
          <w:tcPr>
            <w:tcW w:w="5193" w:type="dxa"/>
            <w:shd w:val="clear" w:color="auto" w:fill="F1F1F1" w:themeFill="background1" w:themeFillShade="F2"/>
          </w:tcPr>
          <w:p>
            <w:pPr>
              <w:spacing w:line="360" w:lineRule="auto"/>
              <w:rPr>
                <w:rFonts w:ascii="Times New Roman" w:hAnsi="Times New Roman" w:cs="Times New Roman"/>
                <w:b/>
                <w:bCs/>
                <w:sz w:val="24"/>
                <w:szCs w:val="24"/>
              </w:rPr>
            </w:pPr>
            <w:r>
              <w:rPr>
                <w:rFonts w:ascii="Times New Roman" w:hAnsi="Times New Roman" w:cs="Times New Roman"/>
                <w:b/>
                <w:bCs/>
                <w:sz w:val="24"/>
                <w:szCs w:val="24"/>
              </w:rPr>
              <w:t>多名教师获得课堂教学质量奖，科研成果突出。</w:t>
            </w:r>
          </w:p>
        </w:tc>
      </w:tr>
    </w:tbl>
    <w:p>
      <w:pPr>
        <w:spacing w:line="360" w:lineRule="auto"/>
        <w:rPr>
          <w:rFonts w:ascii="Times New Roman" w:hAnsi="Times New Roman" w:cs="Times New Roman"/>
          <w:sz w:val="24"/>
          <w:szCs w:val="24"/>
        </w:rPr>
      </w:pPr>
      <w:r>
        <w:rPr>
          <w:rFonts w:ascii="Times New Roman" w:hAnsi="Times New Roman" w:cs="Times New Roman"/>
          <w:sz w:val="24"/>
          <w:szCs w:val="24"/>
        </w:rPr>
        <w:tab/>
      </w:r>
    </w:p>
    <w:p>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目前在区域协同发展、社会化养老服务、非营利组织管理等领域形成了具有较高学术价值和专业特色的成果。</w:t>
      </w:r>
    </w:p>
    <w:p>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该专业经过多年建设，配备先进的服务器和师生用计算机以及辅助教学的设备，安装电子政务实训、公务员考试模拟、社保基金实训、政府创新案例库等系列公共管理教学软件以及辅助开展调查研究的软件，为公共管理系的劳动和社会保障、公共事业管理两个专业以及公共管理硕士（MPA）的全体师生的教学和科研工作提供了良好的技术支持。</w:t>
      </w:r>
    </w:p>
    <w:p>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在国内，本专业与天津市社会团体管理局、天津市社会保险基金管理中心、河北省人力资源和社会保障厅等多家实践教学基地开展社会组织调查、毕业实习等合作。</w:t>
      </w:r>
    </w:p>
    <w:p>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在国际上，与爱尔兰利莫瑞克大学和美国加州大学河滨分校建立了合作办学关系。</w:t>
      </w:r>
    </w:p>
    <w:p>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该专业课程设置强调“厚基础，宽口径，重特色”，学生基础扎实，实践能力强，曾获“挑战杯”省级特等奖、国家级二等奖，全国公共管理案例大赛二等奖、2019年全国高校模拟集体谈判大赛一等奖等多项奖励。</w:t>
      </w:r>
    </w:p>
    <w:p>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学生专业基础扎实、综合素质高，就业率位居前列，在就业市场上具有较强的竞争力。学生保研考研率达到35%左右，多名学生保研到中国人民大学、浙江大学、吉林大学、中山大学、南京大学、南开大学等国内知名大学或赴英美等海外名校深造。</w:t>
      </w:r>
    </w:p>
    <w:p>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近三年毕业生去向的调查显示：超50%毕业生考取公务员、选调生和研究生，如天津市滨海新区纪检委、南开区民政局、北京市地税局、保定市委组织部几个代表性单位。其他就业在银行、企业人力资源管理工作较为集中，毕业生分布在京津冀、长三角、珠三角等全国各区域的大城市，涉及党政机关、教育、金融机构、企业等领域。就业单位普遍反映本专业毕业生踏实肯干，表现优异。</w:t>
      </w:r>
    </w:p>
    <w:p>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两个专业都致力于实现的目标是：</w:t>
      </w:r>
    </w:p>
    <w:p>
      <w:pPr>
        <w:spacing w:line="360" w:lineRule="auto"/>
        <w:ind w:firstLine="480" w:firstLineChars="200"/>
        <w:rPr>
          <w:rFonts w:ascii="Times New Roman" w:hAnsi="Times New Roman" w:eastAsia="宋体" w:cs="Times New Roman"/>
          <w:bCs/>
          <w:sz w:val="24"/>
          <w:szCs w:val="28"/>
        </w:rPr>
      </w:pPr>
      <w:r>
        <w:rPr>
          <w:rFonts w:ascii="Times New Roman" w:hAnsi="Times New Roman" w:eastAsia="宋体" w:cs="Times New Roman"/>
          <w:bCs/>
          <w:sz w:val="24"/>
          <w:szCs w:val="28"/>
        </w:rPr>
        <w:t>第一，课程体系结构合理，符合学生知识、能力、素质协调发展的要求，能根据社会需要做调整。</w:t>
      </w:r>
    </w:p>
    <w:p>
      <w:pPr>
        <w:spacing w:line="360" w:lineRule="auto"/>
        <w:ind w:firstLine="480" w:firstLineChars="200"/>
        <w:rPr>
          <w:rFonts w:ascii="Times New Roman" w:hAnsi="Times New Roman" w:eastAsia="宋体" w:cs="Times New Roman"/>
          <w:bCs/>
          <w:sz w:val="24"/>
          <w:szCs w:val="28"/>
        </w:rPr>
      </w:pPr>
      <w:r>
        <w:rPr>
          <w:rFonts w:ascii="Times New Roman" w:hAnsi="Times New Roman" w:eastAsia="宋体" w:cs="Times New Roman"/>
          <w:bCs/>
          <w:sz w:val="24"/>
          <w:szCs w:val="28"/>
        </w:rPr>
        <w:t>第二，增强实践教学，提升学生能力，体现学科交叉。</w:t>
      </w:r>
    </w:p>
    <w:p>
      <w:pPr>
        <w:spacing w:line="360" w:lineRule="auto"/>
        <w:ind w:firstLine="480" w:firstLineChars="200"/>
        <w:rPr>
          <w:rFonts w:ascii="Times New Roman" w:hAnsi="Times New Roman" w:eastAsia="宋体" w:cs="Times New Roman"/>
          <w:bCs/>
          <w:sz w:val="24"/>
          <w:szCs w:val="28"/>
        </w:rPr>
      </w:pPr>
      <w:r>
        <w:rPr>
          <w:rFonts w:ascii="Times New Roman" w:hAnsi="Times New Roman" w:eastAsia="宋体" w:cs="Times New Roman"/>
          <w:bCs/>
          <w:sz w:val="24"/>
          <w:szCs w:val="28"/>
        </w:rPr>
        <w:t>第三，劳动与社会保障与公共管理硕士在专业发展方面相互支撑与促进。</w:t>
      </w:r>
    </w:p>
    <w:p>
      <w:pPr>
        <w:spacing w:line="360" w:lineRule="auto"/>
        <w:ind w:firstLine="482" w:firstLineChars="200"/>
        <w:rPr>
          <w:rFonts w:ascii="Times New Roman" w:hAnsi="Times New Roman" w:eastAsia="宋体" w:cs="Times New Roman"/>
          <w:b/>
          <w:sz w:val="24"/>
          <w:szCs w:val="28"/>
        </w:rPr>
      </w:pPr>
      <w:r>
        <w:rPr>
          <w:rFonts w:ascii="Times New Roman" w:hAnsi="Times New Roman" w:eastAsia="宋体" w:cs="Times New Roman"/>
          <w:b/>
          <w:sz w:val="24"/>
          <w:szCs w:val="28"/>
        </w:rPr>
        <w:t>致力于在劳动与社会保障专业同公共事业管理专业之间设置交叉共享培养模块，同时对应MPA教学内容的延续，在未来真正实现实质性支撑局面。</w:t>
      </w:r>
    </w:p>
    <w:p>
      <w:pPr>
        <w:spacing w:line="312" w:lineRule="auto"/>
        <w:jc w:val="center"/>
        <w:rPr>
          <w:rFonts w:ascii="Times New Roman" w:hAnsi="Times New Roman" w:cs="Times New Roman"/>
          <w:sz w:val="28"/>
          <w:szCs w:val="28"/>
        </w:rPr>
      </w:pPr>
      <w:r>
        <w:rPr>
          <w:rFonts w:ascii="Times New Roman" w:hAnsi="Times New Roman" w:eastAsia="宋体" w:cs="Times New Roman"/>
          <w:sz w:val="24"/>
          <w:szCs w:val="28"/>
          <w:lang w:val="en-US"/>
        </w:rPr>
        <w:drawing>
          <wp:inline distT="0" distB="0" distL="0" distR="0">
            <wp:extent cx="2959100" cy="287782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963395" cy="2882031"/>
                    </a:xfrm>
                    <a:prstGeom prst="rect">
                      <a:avLst/>
                    </a:prstGeom>
                    <a:noFill/>
                    <a:ln>
                      <a:noFill/>
                    </a:ln>
                  </pic:spPr>
                </pic:pic>
              </a:graphicData>
            </a:graphic>
          </wp:inline>
        </w:drawing>
      </w:r>
    </w:p>
    <w:p>
      <w:pPr>
        <w:spacing w:line="360" w:lineRule="auto"/>
        <w:jc w:val="center"/>
        <w:rPr>
          <w:rFonts w:ascii="Times New Roman" w:hAnsi="Times New Roman" w:cs="Times New Roman"/>
          <w:sz w:val="24"/>
          <w:szCs w:val="24"/>
        </w:rPr>
      </w:pPr>
      <w:r>
        <w:rPr>
          <w:rFonts w:ascii="Times New Roman" w:hAnsi="Times New Roman" w:eastAsia="仿宋" w:cs="Times New Roman"/>
          <w:b/>
          <w:bCs/>
          <w:szCs w:val="21"/>
        </w:rPr>
        <w:t>图1 专业体系发展结构</w:t>
      </w:r>
    </w:p>
    <w:p>
      <w:pPr>
        <w:spacing w:line="360" w:lineRule="auto"/>
        <w:rPr>
          <w:rFonts w:ascii="Times New Roman" w:hAnsi="Times New Roman" w:cs="Times New Roman"/>
          <w:sz w:val="24"/>
          <w:szCs w:val="24"/>
        </w:rPr>
      </w:pPr>
    </w:p>
    <w:p>
      <w:pPr>
        <w:spacing w:line="360" w:lineRule="auto"/>
        <w:rPr>
          <w:rFonts w:hint="eastAsia" w:ascii="Times New Roman" w:hAnsi="Times New Roman" w:cs="Times New Roman"/>
          <w:sz w:val="24"/>
          <w:szCs w:val="24"/>
        </w:rPr>
      </w:pPr>
    </w:p>
    <w:tbl>
      <w:tblPr>
        <w:tblStyle w:val="13"/>
        <w:tblW w:w="0" w:type="auto"/>
        <w:tblInd w:w="0" w:type="dxa"/>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Layout w:type="autofit"/>
        <w:tblCellMar>
          <w:top w:w="0" w:type="dxa"/>
          <w:left w:w="108" w:type="dxa"/>
          <w:bottom w:w="0" w:type="dxa"/>
          <w:right w:w="108" w:type="dxa"/>
        </w:tblCellMar>
      </w:tblPr>
      <w:tblGrid>
        <w:gridCol w:w="5979"/>
        <w:gridCol w:w="2927"/>
      </w:tblGrid>
      <w:tr>
        <w:tblPrEx>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CellMar>
            <w:top w:w="0" w:type="dxa"/>
            <w:left w:w="108" w:type="dxa"/>
            <w:bottom w:w="0" w:type="dxa"/>
            <w:right w:w="108" w:type="dxa"/>
          </w:tblCellMar>
        </w:tblPrEx>
        <w:tc>
          <w:tcPr>
            <w:tcW w:w="4411" w:type="dxa"/>
            <w:tcBorders>
              <w:bottom w:val="single" w:color="9CC2E5" w:themeColor="accent1" w:themeTint="99" w:sz="12" w:space="0"/>
              <w:insideH w:val="single" w:sz="12" w:space="0"/>
            </w:tcBorders>
          </w:tcPr>
          <w:p>
            <w:pPr>
              <w:spacing w:line="360" w:lineRule="auto"/>
              <w:rPr>
                <w:rFonts w:ascii="Times New Roman" w:hAnsi="Times New Roman" w:cs="Times New Roman"/>
                <w:b/>
                <w:bCs/>
                <w:sz w:val="24"/>
                <w:szCs w:val="24"/>
              </w:rPr>
            </w:pPr>
            <w:r>
              <w:rPr>
                <w:rFonts w:ascii="Times New Roman" w:hAnsi="Times New Roman" w:cs="Times New Roman"/>
                <w:b/>
                <w:bCs/>
                <w:lang w:val="en-US"/>
              </w:rPr>
              <w:drawing>
                <wp:inline distT="0" distB="0" distL="0" distR="0">
                  <wp:extent cx="3659505" cy="487934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3659505" cy="4879340"/>
                          </a:xfrm>
                          <a:prstGeom prst="rect">
                            <a:avLst/>
                          </a:prstGeom>
                        </pic:spPr>
                      </pic:pic>
                    </a:graphicData>
                  </a:graphic>
                </wp:inline>
              </w:drawing>
            </w:r>
          </w:p>
        </w:tc>
        <w:tc>
          <w:tcPr>
            <w:tcW w:w="4411" w:type="dxa"/>
            <w:tcBorders>
              <w:bottom w:val="single" w:color="9CC2E5" w:themeColor="accent1" w:themeTint="99" w:sz="12" w:space="0"/>
              <w:insideH w:val="single" w:sz="12" w:space="0"/>
            </w:tcBorders>
          </w:tcPr>
          <w:p>
            <w:pPr>
              <w:spacing w:line="360" w:lineRule="auto"/>
              <w:rPr>
                <w:rFonts w:ascii="Times New Roman" w:hAnsi="Times New Roman" w:cs="Times New Roman"/>
                <w:b/>
                <w:bCs/>
                <w:sz w:val="24"/>
                <w:szCs w:val="24"/>
              </w:rPr>
            </w:pPr>
          </w:p>
          <w:p>
            <w:pPr>
              <w:spacing w:line="360" w:lineRule="auto"/>
              <w:rPr>
                <w:rFonts w:ascii="Times New Roman" w:hAnsi="Times New Roman" w:cs="Times New Roman"/>
                <w:b/>
                <w:bCs/>
                <w:sz w:val="24"/>
                <w:szCs w:val="24"/>
              </w:rPr>
            </w:pPr>
          </w:p>
          <w:p>
            <w:pPr>
              <w:spacing w:line="360" w:lineRule="auto"/>
              <w:rPr>
                <w:rFonts w:ascii="Times New Roman" w:hAnsi="Times New Roman" w:cs="Times New Roman"/>
                <w:b/>
                <w:bCs/>
                <w:sz w:val="24"/>
                <w:szCs w:val="24"/>
              </w:rPr>
            </w:pPr>
            <w:r>
              <w:rPr>
                <w:rFonts w:ascii="Times New Roman" w:hAnsi="Times New Roman" w:cs="Times New Roman"/>
                <w:b/>
                <w:bCs/>
                <w:sz w:val="24"/>
                <w:szCs w:val="24"/>
              </w:rPr>
              <w:t>MPA教育中心</w:t>
            </w:r>
          </w:p>
          <w:p>
            <w:pPr>
              <w:spacing w:line="360" w:lineRule="auto"/>
              <w:rPr>
                <w:rFonts w:ascii="Times New Roman" w:hAnsi="Times New Roman" w:cs="Times New Roman"/>
                <w:b/>
                <w:bCs/>
                <w:sz w:val="24"/>
                <w:szCs w:val="24"/>
              </w:rPr>
            </w:pPr>
          </w:p>
          <w:p>
            <w:pPr>
              <w:spacing w:line="360" w:lineRule="auto"/>
              <w:rPr>
                <w:rFonts w:ascii="Times New Roman" w:hAnsi="Times New Roman" w:cs="Times New Roman"/>
                <w:b w:val="0"/>
                <w:bCs/>
                <w:sz w:val="24"/>
                <w:szCs w:val="24"/>
              </w:rPr>
            </w:pPr>
            <w:r>
              <w:rPr>
                <w:rFonts w:ascii="Times New Roman" w:hAnsi="Times New Roman" w:cs="Times New Roman"/>
                <w:b w:val="0"/>
                <w:bCs/>
                <w:sz w:val="24"/>
                <w:szCs w:val="24"/>
              </w:rPr>
              <w:t>共有专任导师25人，</w:t>
            </w:r>
          </w:p>
          <w:p>
            <w:pPr>
              <w:spacing w:line="360" w:lineRule="auto"/>
              <w:rPr>
                <w:rFonts w:ascii="Times New Roman" w:hAnsi="Times New Roman" w:cs="Times New Roman"/>
                <w:b w:val="0"/>
                <w:bCs/>
                <w:sz w:val="24"/>
                <w:szCs w:val="24"/>
              </w:rPr>
            </w:pPr>
            <w:r>
              <w:rPr>
                <w:rFonts w:ascii="Times New Roman" w:hAnsi="Times New Roman" w:cs="Times New Roman"/>
                <w:b w:val="0"/>
                <w:bCs/>
                <w:sz w:val="24"/>
                <w:szCs w:val="24"/>
              </w:rPr>
              <w:t>其中教授10人，</w:t>
            </w:r>
          </w:p>
          <w:p>
            <w:pPr>
              <w:spacing w:line="360" w:lineRule="auto"/>
              <w:rPr>
                <w:rFonts w:ascii="Times New Roman" w:hAnsi="Times New Roman" w:cs="Times New Roman"/>
                <w:b w:val="0"/>
                <w:bCs/>
                <w:sz w:val="24"/>
                <w:szCs w:val="24"/>
              </w:rPr>
            </w:pPr>
            <w:r>
              <w:rPr>
                <w:rFonts w:ascii="Times New Roman" w:hAnsi="Times New Roman" w:cs="Times New Roman"/>
                <w:b w:val="0"/>
                <w:bCs/>
                <w:sz w:val="24"/>
                <w:szCs w:val="24"/>
              </w:rPr>
              <w:t>副教授15人，</w:t>
            </w:r>
          </w:p>
          <w:p>
            <w:pPr>
              <w:spacing w:line="360" w:lineRule="auto"/>
              <w:rPr>
                <w:rFonts w:ascii="Times New Roman" w:hAnsi="Times New Roman" w:cs="Times New Roman"/>
                <w:b w:val="0"/>
                <w:bCs/>
                <w:sz w:val="24"/>
                <w:szCs w:val="24"/>
              </w:rPr>
            </w:pPr>
            <w:r>
              <w:rPr>
                <w:rFonts w:ascii="Times New Roman" w:hAnsi="Times New Roman" w:cs="Times New Roman"/>
                <w:b w:val="0"/>
                <w:bCs/>
                <w:sz w:val="24"/>
                <w:szCs w:val="24"/>
              </w:rPr>
              <w:t>绝大多数教师拥有博士学位。</w:t>
            </w:r>
          </w:p>
          <w:p>
            <w:pPr>
              <w:spacing w:line="360" w:lineRule="auto"/>
              <w:rPr>
                <w:rFonts w:ascii="Times New Roman" w:hAnsi="Times New Roman" w:cs="Times New Roman"/>
                <w:b/>
                <w:bCs/>
                <w:sz w:val="24"/>
                <w:szCs w:val="24"/>
              </w:rPr>
            </w:pPr>
            <w:r>
              <w:rPr>
                <w:rFonts w:ascii="Times New Roman" w:hAnsi="Times New Roman" w:cs="Times New Roman"/>
                <w:b w:val="0"/>
                <w:bCs/>
                <w:sz w:val="24"/>
                <w:szCs w:val="24"/>
              </w:rPr>
              <w:t>中心依托与京津冀地区的六十余家实践基地，聘请了60余位兼职导师。</w:t>
            </w:r>
          </w:p>
        </w:tc>
      </w:tr>
    </w:tbl>
    <w:p>
      <w:pPr>
        <w:spacing w:line="360" w:lineRule="auto"/>
        <w:rPr>
          <w:rFonts w:ascii="Times New Roman" w:hAnsi="Times New Roman" w:cs="Times New Roman"/>
          <w:sz w:val="24"/>
          <w:szCs w:val="24"/>
        </w:rPr>
      </w:pPr>
      <w:r>
        <w:rPr>
          <w:rFonts w:ascii="Times New Roman" w:hAnsi="Times New Roman" w:cs="Times New Roman"/>
          <w:sz w:val="24"/>
          <w:szCs w:val="24"/>
        </w:rPr>
        <w:tab/>
      </w:r>
    </w:p>
    <w:p>
      <w:pPr>
        <w:spacing w:line="360" w:lineRule="auto"/>
        <w:rPr>
          <w:rFonts w:ascii="Times New Roman" w:hAnsi="Times New Roman" w:cs="Times New Roman"/>
          <w:b/>
          <w:sz w:val="28"/>
          <w:szCs w:val="24"/>
        </w:rPr>
      </w:pPr>
      <w:r>
        <w:rPr>
          <w:rFonts w:ascii="Times New Roman" w:hAnsi="Times New Roman" w:cs="Times New Roman"/>
          <w:b/>
          <w:sz w:val="28"/>
          <w:szCs w:val="24"/>
        </w:rPr>
        <w:tab/>
      </w:r>
      <w:r>
        <w:rPr>
          <w:rFonts w:ascii="Times New Roman" w:hAnsi="Times New Roman" w:cs="Times New Roman"/>
          <w:b/>
          <w:sz w:val="28"/>
          <w:szCs w:val="24"/>
        </w:rPr>
        <w:t>河北工业大学MPA项目</w:t>
      </w:r>
    </w:p>
    <w:p>
      <w:pPr>
        <w:spacing w:line="360" w:lineRule="auto"/>
        <w:rPr>
          <w:rFonts w:ascii="Times New Roman" w:hAnsi="Times New Roman" w:cs="Times New Roman"/>
          <w:sz w:val="24"/>
          <w:szCs w:val="24"/>
        </w:rPr>
      </w:pPr>
      <w:r>
        <w:rPr>
          <w:rFonts w:ascii="Times New Roman" w:hAnsi="Times New Roman" w:cs="Times New Roman"/>
          <w:sz w:val="24"/>
          <w:szCs w:val="24"/>
        </w:rPr>
        <w:tab/>
      </w:r>
    </w:p>
    <w:p>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由人文与法律学院主办，MPA培养工作由MPA教育中心负责。</w:t>
      </w:r>
    </w:p>
    <w:p>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河北工业大学MPA项目秉承学校工学并举、产学研相结合的办学传统，集中本校多学科优秀的师资力量，努力提高MPA课程教学水平，发挥学校隶属河北、地处天津、毗邻北京的区位优势，充分利用学校广泛的社会资源，努力为大家创造增长见识、开阔视野、施展才华的机会。</w:t>
      </w:r>
    </w:p>
    <w:p>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中心自成立以来，在师资队伍、课程建设、硬件设施等方面都取得了良好成绩。</w:t>
      </w:r>
    </w:p>
    <w:p>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为提高教学及科研水平，中心成立了专家咨询委员会，聘请了北京大学、南开大学、天津大学、国家科技部等高校和政府部门专家学者为中心发展提供专业的意见和建议。</w:t>
      </w:r>
    </w:p>
    <w:p>
      <w:pPr>
        <w:spacing w:line="360" w:lineRule="auto"/>
        <w:rPr>
          <w:rFonts w:ascii="Times New Roman" w:hAnsi="Times New Roman" w:cs="Times New Roman"/>
          <w:b/>
          <w:sz w:val="28"/>
          <w:szCs w:val="24"/>
        </w:rPr>
      </w:pPr>
      <w:r>
        <w:rPr>
          <w:rFonts w:ascii="Times New Roman" w:hAnsi="Times New Roman" w:cs="Times New Roman"/>
          <w:b/>
          <w:sz w:val="28"/>
          <w:szCs w:val="24"/>
        </w:rPr>
        <w:t>劳动与社会保障</w:t>
      </w:r>
      <w:r>
        <w:rPr>
          <w:rFonts w:hint="eastAsia" w:ascii="Times New Roman" w:hAnsi="Times New Roman" w:cs="Times New Roman"/>
          <w:b/>
          <w:sz w:val="28"/>
          <w:szCs w:val="24"/>
        </w:rPr>
        <w:t>专业</w:t>
      </w:r>
    </w:p>
    <w:p>
      <w:pPr>
        <w:spacing w:line="360" w:lineRule="auto"/>
        <w:rPr>
          <w:rFonts w:ascii="Times New Roman" w:hAnsi="Times New Roman" w:cs="Times New Roman"/>
          <w:sz w:val="24"/>
          <w:szCs w:val="24"/>
        </w:rPr>
      </w:pP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国家和区域经济建设新的发展战略造成人力资源市场对人才培养有了全新的需求，在秉承本校“工学并举”的传统办学理念基础上，遵循“学-研-产”相结合的基本原则，在坚持培养理论与政策基础扎实及适应能力强的教学思想前提下，根据社会生活与管理出现的新趋势，灵活调整课程设置，培养学生不仅成为富有创新精神和实践能力的高素质复合型应用人才，同时具有高度的社会责任意识。未来将以劳动保障为聚焦向相邻专业领域辐射发展，其中将公共事业管理作为发展重点，并将其与公共管理硕士（Master of Public Administration，简称MPA）的建设与发展进行紧密结合，吸收与借鉴国内外先进办学经验和模式，通过合作办学与自身建设，争取与国际知名大学同类专业实现接轨。</w:t>
      </w:r>
    </w:p>
    <w:p>
      <w:pPr>
        <w:spacing w:line="300" w:lineRule="auto"/>
        <w:ind w:firstLine="560" w:firstLineChars="200"/>
        <w:jc w:val="center"/>
        <w:rPr>
          <w:rFonts w:ascii="Times New Roman" w:hAnsi="Times New Roman" w:cs="Times New Roman"/>
          <w:bCs/>
          <w:sz w:val="28"/>
          <w:szCs w:val="28"/>
        </w:rPr>
      </w:pPr>
      <w:r>
        <w:rPr>
          <w:rFonts w:ascii="Times New Roman" w:hAnsi="Times New Roman" w:cs="Times New Roman"/>
          <w:bCs/>
          <w:sz w:val="28"/>
          <w:szCs w:val="28"/>
          <w:lang w:val="en-US"/>
        </w:rPr>
        <w:drawing>
          <wp:inline distT="0" distB="0" distL="0" distR="0">
            <wp:extent cx="3296285" cy="1905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306224" cy="1910469"/>
                    </a:xfrm>
                    <a:prstGeom prst="rect">
                      <a:avLst/>
                    </a:prstGeom>
                    <a:noFill/>
                    <a:ln>
                      <a:noFill/>
                    </a:ln>
                  </pic:spPr>
                </pic:pic>
              </a:graphicData>
            </a:graphic>
          </wp:inline>
        </w:drawing>
      </w:r>
    </w:p>
    <w:p>
      <w:pPr>
        <w:jc w:val="center"/>
        <w:rPr>
          <w:rFonts w:ascii="Times New Roman" w:hAnsi="Times New Roman" w:eastAsia="仿宋" w:cs="Times New Roman"/>
          <w:b/>
          <w:bCs/>
          <w:szCs w:val="21"/>
        </w:rPr>
      </w:pPr>
      <w:r>
        <w:rPr>
          <w:rFonts w:ascii="Times New Roman" w:hAnsi="Times New Roman" w:eastAsia="仿宋" w:cs="Times New Roman"/>
          <w:b/>
          <w:bCs/>
          <w:szCs w:val="21"/>
        </w:rPr>
        <w:t>图2 专业定位</w:t>
      </w:r>
    </w:p>
    <w:p>
      <w:pPr>
        <w:jc w:val="center"/>
        <w:rPr>
          <w:rFonts w:ascii="Times New Roman" w:hAnsi="Times New Roman" w:eastAsia="仿宋" w:cs="Times New Roman"/>
          <w:b/>
          <w:bCs/>
          <w:szCs w:val="21"/>
        </w:rPr>
      </w:pPr>
    </w:p>
    <w:p>
      <w:pPr>
        <w:spacing w:line="300" w:lineRule="auto"/>
        <w:jc w:val="center"/>
        <w:rPr>
          <w:rFonts w:ascii="Times New Roman" w:hAnsi="Times New Roman" w:cs="Times New Roman"/>
          <w:bCs/>
          <w:sz w:val="24"/>
          <w:szCs w:val="28"/>
        </w:rPr>
      </w:pPr>
      <w:r>
        <w:rPr>
          <w:rFonts w:ascii="Times New Roman" w:hAnsi="Times New Roman" w:cs="Times New Roman"/>
          <w:bCs/>
          <w:sz w:val="24"/>
          <w:szCs w:val="28"/>
          <w:lang w:val="en-US"/>
        </w:rPr>
        <w:drawing>
          <wp:inline distT="0" distB="0" distL="0" distR="0">
            <wp:extent cx="3954780" cy="2245995"/>
            <wp:effectExtent l="0" t="0" r="762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957522" cy="2247961"/>
                    </a:xfrm>
                    <a:prstGeom prst="rect">
                      <a:avLst/>
                    </a:prstGeom>
                    <a:noFill/>
                    <a:ln>
                      <a:noFill/>
                    </a:ln>
                  </pic:spPr>
                </pic:pic>
              </a:graphicData>
            </a:graphic>
          </wp:inline>
        </w:drawing>
      </w:r>
    </w:p>
    <w:p>
      <w:pPr>
        <w:jc w:val="center"/>
        <w:rPr>
          <w:rFonts w:ascii="Times New Roman" w:hAnsi="Times New Roman" w:eastAsia="仿宋" w:cs="Times New Roman"/>
          <w:b/>
          <w:bCs/>
          <w:szCs w:val="21"/>
        </w:rPr>
      </w:pPr>
      <w:r>
        <w:rPr>
          <w:rFonts w:ascii="Times New Roman" w:hAnsi="Times New Roman" w:eastAsia="仿宋" w:cs="Times New Roman"/>
          <w:b/>
          <w:bCs/>
          <w:szCs w:val="21"/>
        </w:rPr>
        <w:t>图3 专业建设历史沿革</w:t>
      </w:r>
    </w:p>
    <w:p>
      <w:pPr>
        <w:spacing w:line="312" w:lineRule="auto"/>
        <w:ind w:firstLine="482" w:firstLineChars="200"/>
        <w:rPr>
          <w:rFonts w:ascii="Times New Roman" w:hAnsi="Times New Roman" w:eastAsia="黑体" w:cs="Times New Roman"/>
          <w:b/>
          <w:bCs/>
          <w:sz w:val="24"/>
          <w:szCs w:val="28"/>
        </w:rPr>
      </w:pPr>
    </w:p>
    <w:p>
      <w:pPr>
        <w:spacing w:line="312" w:lineRule="auto"/>
        <w:ind w:firstLine="482" w:firstLineChars="200"/>
        <w:rPr>
          <w:rFonts w:ascii="Times New Roman" w:hAnsi="Times New Roman" w:eastAsia="黑体" w:cs="Times New Roman"/>
          <w:b/>
          <w:bCs/>
          <w:sz w:val="24"/>
          <w:szCs w:val="28"/>
        </w:rPr>
      </w:pPr>
    </w:p>
    <w:p>
      <w:pPr>
        <w:spacing w:line="360" w:lineRule="auto"/>
        <w:ind w:firstLine="480" w:firstLineChars="200"/>
        <w:rPr>
          <w:rFonts w:ascii="Times New Roman" w:hAnsi="Times New Roman" w:cs="Times New Roman"/>
          <w:bCs/>
          <w:sz w:val="24"/>
          <w:szCs w:val="28"/>
        </w:rPr>
      </w:pPr>
      <w:r>
        <w:rPr>
          <w:rFonts w:ascii="Times New Roman" w:hAnsi="Times New Roman" w:cs="Times New Roman"/>
          <w:bCs/>
          <w:sz w:val="24"/>
          <w:szCs w:val="28"/>
        </w:rPr>
        <w:t>本专业的主要特色是：</w:t>
      </w:r>
    </w:p>
    <w:p>
      <w:pPr>
        <w:spacing w:line="360" w:lineRule="auto"/>
        <w:ind w:left="29" w:firstLine="484" w:firstLineChars="202"/>
        <w:rPr>
          <w:rFonts w:ascii="Times New Roman" w:hAnsi="Times New Roman" w:cs="Times New Roman"/>
          <w:bCs/>
          <w:sz w:val="24"/>
          <w:szCs w:val="28"/>
        </w:rPr>
      </w:pPr>
      <w:r>
        <w:rPr>
          <w:rFonts w:ascii="Times New Roman" w:hAnsi="Times New Roman" w:cs="Times New Roman"/>
          <w:bCs/>
          <w:sz w:val="24"/>
          <w:szCs w:val="28"/>
        </w:rPr>
        <w:t xml:space="preserve">第一，具有支撑专业的学科特色。利用在民生领域和公共事业管理领域有研究造诣的教师资源，开设与民生领域密切相关的社会保障、社会福利等主干理论课程；与公共事业管理领域密切相关的公共管理学、公共政策分析、行政管理学等理论课程；辅以人力资源管理及财政金融基础性课程，关注学科发展前沿，竭力拓宽学生知识视野与跨学科综合分析能力。 </w:t>
      </w:r>
    </w:p>
    <w:p>
      <w:pPr>
        <w:spacing w:line="360" w:lineRule="auto"/>
        <w:ind w:firstLine="480" w:firstLineChars="200"/>
        <w:rPr>
          <w:rFonts w:ascii="Times New Roman" w:hAnsi="Times New Roman" w:cs="Times New Roman"/>
          <w:bCs/>
          <w:sz w:val="24"/>
          <w:szCs w:val="28"/>
        </w:rPr>
      </w:pPr>
      <w:r>
        <w:rPr>
          <w:rFonts w:ascii="Times New Roman" w:hAnsi="Times New Roman" w:cs="Times New Roman"/>
          <w:bCs/>
          <w:sz w:val="24"/>
          <w:szCs w:val="28"/>
        </w:rPr>
        <w:t>第二，具有支撑专业的实践特色。已与17家企事业单位建立实习基地合作网络，覆盖天津市内六区及河北省石家庄、保定等地，着力提高学生理论与实践相结合的能力。</w:t>
      </w:r>
    </w:p>
    <w:p>
      <w:pPr>
        <w:spacing w:line="312" w:lineRule="auto"/>
        <w:ind w:left="29" w:firstLine="484" w:firstLineChars="202"/>
        <w:rPr>
          <w:rFonts w:ascii="Times New Roman" w:hAnsi="Times New Roman" w:cs="Times New Roman"/>
          <w:bCs/>
          <w:sz w:val="24"/>
          <w:szCs w:val="28"/>
        </w:rPr>
      </w:pPr>
      <w:r>
        <w:rPr>
          <w:rFonts w:ascii="Times New Roman" w:hAnsi="Times New Roman" w:cs="Times New Roman"/>
          <w:bCs/>
          <w:sz w:val="24"/>
          <w:szCs w:val="28"/>
          <w:lang w:val="en-US"/>
        </w:rPr>
        <w:drawing>
          <wp:inline distT="0" distB="0" distL="0" distR="0">
            <wp:extent cx="4434840" cy="3272790"/>
            <wp:effectExtent l="0" t="0" r="381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445896" cy="3281494"/>
                    </a:xfrm>
                    <a:prstGeom prst="rect">
                      <a:avLst/>
                    </a:prstGeom>
                    <a:noFill/>
                    <a:ln>
                      <a:noFill/>
                    </a:ln>
                  </pic:spPr>
                </pic:pic>
              </a:graphicData>
            </a:graphic>
          </wp:inline>
        </w:drawing>
      </w:r>
    </w:p>
    <w:p>
      <w:pPr>
        <w:spacing w:line="312" w:lineRule="auto"/>
        <w:ind w:left="29" w:firstLine="426" w:firstLineChars="202"/>
        <w:jc w:val="center"/>
        <w:rPr>
          <w:rFonts w:ascii="Times New Roman" w:hAnsi="Times New Roman" w:eastAsia="仿宋" w:cs="Times New Roman"/>
          <w:b/>
          <w:bCs/>
          <w:szCs w:val="21"/>
        </w:rPr>
      </w:pPr>
      <w:r>
        <w:rPr>
          <w:rFonts w:ascii="Times New Roman" w:hAnsi="Times New Roman" w:eastAsia="仿宋" w:cs="Times New Roman"/>
          <w:b/>
          <w:bCs/>
          <w:szCs w:val="21"/>
        </w:rPr>
        <w:t>图4现拥有可进行专业实践活动的政府公共服务部门区域分布</w:t>
      </w:r>
    </w:p>
    <w:p>
      <w:pPr>
        <w:spacing w:line="312" w:lineRule="auto"/>
        <w:ind w:left="29" w:firstLine="426" w:firstLineChars="202"/>
        <w:jc w:val="center"/>
        <w:rPr>
          <w:rFonts w:ascii="Times New Roman" w:hAnsi="Times New Roman" w:eastAsia="仿宋" w:cs="Times New Roman"/>
          <w:b/>
          <w:bCs/>
          <w:szCs w:val="21"/>
        </w:rPr>
      </w:pPr>
      <w:r>
        <w:rPr>
          <w:rFonts w:ascii="Times New Roman" w:hAnsi="Times New Roman" w:eastAsia="仿宋" w:cs="Times New Roman"/>
          <w:b/>
          <w:bCs/>
          <w:szCs w:val="21"/>
        </w:rPr>
        <w:t>与预计京津冀都市圈规划布局比较</w:t>
      </w:r>
    </w:p>
    <w:p>
      <w:pPr>
        <w:spacing w:line="360" w:lineRule="auto"/>
        <w:ind w:firstLine="480" w:firstLineChars="200"/>
        <w:rPr>
          <w:rFonts w:ascii="Times New Roman" w:hAnsi="Times New Roman" w:cs="Times New Roman"/>
          <w:bCs/>
          <w:sz w:val="24"/>
          <w:szCs w:val="28"/>
        </w:rPr>
      </w:pPr>
    </w:p>
    <w:p>
      <w:pPr>
        <w:spacing w:line="360" w:lineRule="auto"/>
        <w:ind w:firstLine="480" w:firstLineChars="200"/>
        <w:rPr>
          <w:rFonts w:ascii="Times New Roman" w:hAnsi="Times New Roman" w:cs="Times New Roman"/>
          <w:bCs/>
          <w:sz w:val="24"/>
          <w:szCs w:val="28"/>
        </w:rPr>
      </w:pPr>
      <w:r>
        <w:rPr>
          <w:rFonts w:ascii="Times New Roman" w:hAnsi="Times New Roman" w:cs="Times New Roman"/>
          <w:bCs/>
          <w:sz w:val="24"/>
          <w:szCs w:val="28"/>
        </w:rPr>
        <w:t>第三，具有支撑专业的国际教学交流特色。结合与欧美知名高校建立师资培训交流机制，培养具有中国立场、国际视野的卓越社会保障管理人才。</w:t>
      </w:r>
    </w:p>
    <w:p>
      <w:pPr>
        <w:spacing w:line="360" w:lineRule="auto"/>
        <w:ind w:firstLine="480" w:firstLineChars="200"/>
        <w:rPr>
          <w:rFonts w:ascii="Times New Roman" w:hAnsi="Times New Roman" w:cs="Times New Roman"/>
          <w:sz w:val="24"/>
          <w:szCs w:val="24"/>
        </w:rPr>
      </w:pPr>
      <w:r>
        <w:rPr>
          <w:rFonts w:ascii="Times New Roman" w:hAnsi="Times New Roman" w:cs="Times New Roman"/>
          <w:bCs/>
          <w:sz w:val="24"/>
          <w:szCs w:val="28"/>
        </w:rPr>
        <w:t>第四，具有专业领域拓展余地大的特点。和国外同类专业相比，尚有社会工作实务、特殊人群社会保障、人文健康科学、养老服务产业化等诸多领域发展空间。</w:t>
      </w:r>
    </w:p>
    <w:p>
      <w:pPr>
        <w:spacing w:line="360" w:lineRule="auto"/>
        <w:rPr>
          <w:rFonts w:ascii="Times New Roman" w:hAnsi="Times New Roman" w:cs="Times New Roman"/>
          <w:sz w:val="24"/>
          <w:szCs w:val="24"/>
        </w:rPr>
      </w:pPr>
      <w:r>
        <w:rPr>
          <w:rFonts w:ascii="Times New Roman" w:hAnsi="Times New Roman" w:cs="Times New Roman"/>
          <w:sz w:val="24"/>
          <w:szCs w:val="24"/>
        </w:rPr>
        <w:tab/>
      </w: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学生毕业后适合工作领域：</w:t>
      </w:r>
    </w:p>
    <w:p>
      <w:pPr>
        <w:spacing w:line="360" w:lineRule="auto"/>
        <w:rPr>
          <w:rFonts w:ascii="Times New Roman" w:hAnsi="Times New Roman" w:cs="Times New Roman"/>
          <w:sz w:val="24"/>
          <w:szCs w:val="24"/>
        </w:rPr>
      </w:pPr>
    </w:p>
    <w:tbl>
      <w:tblPr>
        <w:tblStyle w:val="12"/>
        <w:tblW w:w="0" w:type="auto"/>
        <w:jc w:val="cente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6799"/>
      </w:tblGrid>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6799" w:type="dxa"/>
          </w:tcPr>
          <w:p>
            <w:pPr>
              <w:spacing w:line="360" w:lineRule="auto"/>
              <w:rPr>
                <w:rFonts w:ascii="Times New Roman" w:hAnsi="Times New Roman" w:cs="Times New Roman"/>
                <w:b/>
                <w:bCs/>
                <w:sz w:val="22"/>
                <w:szCs w:val="24"/>
              </w:rPr>
            </w:pPr>
            <w:r>
              <w:rPr>
                <w:rFonts w:ascii="Times New Roman" w:hAnsi="Times New Roman" w:cs="Times New Roman"/>
                <w:b/>
                <w:bCs/>
                <w:sz w:val="22"/>
                <w:szCs w:val="24"/>
              </w:rPr>
              <w:t>在政府人力资源和社会保障部门从事政策研究和专业技术工作</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6799" w:type="dxa"/>
            <w:shd w:val="clear" w:color="auto" w:fill="F1F1F1" w:themeFill="background1" w:themeFillShade="F2"/>
          </w:tcPr>
          <w:p>
            <w:pPr>
              <w:spacing w:line="360" w:lineRule="auto"/>
              <w:rPr>
                <w:rFonts w:ascii="Times New Roman" w:hAnsi="Times New Roman" w:cs="Times New Roman"/>
                <w:b/>
                <w:bCs/>
                <w:sz w:val="22"/>
                <w:szCs w:val="24"/>
              </w:rPr>
            </w:pPr>
            <w:r>
              <w:rPr>
                <w:rFonts w:ascii="Times New Roman" w:hAnsi="Times New Roman" w:cs="Times New Roman"/>
                <w:b/>
                <w:bCs/>
                <w:sz w:val="22"/>
                <w:szCs w:val="24"/>
              </w:rPr>
              <w:t>在企事业单位从事劳动就业管理</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6799" w:type="dxa"/>
          </w:tcPr>
          <w:p>
            <w:pPr>
              <w:spacing w:line="360" w:lineRule="auto"/>
              <w:rPr>
                <w:rFonts w:ascii="Times New Roman" w:hAnsi="Times New Roman" w:cs="Times New Roman"/>
                <w:b/>
                <w:bCs/>
                <w:sz w:val="22"/>
                <w:szCs w:val="24"/>
              </w:rPr>
            </w:pPr>
            <w:r>
              <w:rPr>
                <w:rFonts w:ascii="Times New Roman" w:hAnsi="Times New Roman" w:cs="Times New Roman"/>
                <w:b/>
                <w:bCs/>
                <w:sz w:val="22"/>
                <w:szCs w:val="24"/>
              </w:rPr>
              <w:t>在企事业单位社会保险经办</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6799" w:type="dxa"/>
            <w:shd w:val="clear" w:color="auto" w:fill="F1F1F1" w:themeFill="background1" w:themeFillShade="F2"/>
          </w:tcPr>
          <w:p>
            <w:pPr>
              <w:spacing w:line="360" w:lineRule="auto"/>
              <w:rPr>
                <w:rFonts w:ascii="Times New Roman" w:hAnsi="Times New Roman" w:cs="Times New Roman"/>
                <w:b/>
                <w:bCs/>
                <w:sz w:val="22"/>
                <w:szCs w:val="24"/>
              </w:rPr>
            </w:pPr>
            <w:r>
              <w:rPr>
                <w:rFonts w:ascii="Times New Roman" w:hAnsi="Times New Roman" w:cs="Times New Roman"/>
                <w:b/>
                <w:bCs/>
                <w:sz w:val="22"/>
                <w:szCs w:val="24"/>
              </w:rPr>
              <w:t>在企事业单位薪酬管理</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6799" w:type="dxa"/>
          </w:tcPr>
          <w:p>
            <w:pPr>
              <w:spacing w:line="360" w:lineRule="auto"/>
              <w:rPr>
                <w:rFonts w:ascii="Times New Roman" w:hAnsi="Times New Roman" w:cs="Times New Roman"/>
                <w:b/>
                <w:bCs/>
                <w:sz w:val="22"/>
                <w:szCs w:val="24"/>
              </w:rPr>
            </w:pPr>
            <w:r>
              <w:rPr>
                <w:rFonts w:ascii="Times New Roman" w:hAnsi="Times New Roman" w:cs="Times New Roman"/>
                <w:b/>
                <w:bCs/>
                <w:sz w:val="22"/>
                <w:szCs w:val="24"/>
              </w:rPr>
              <w:t>在企事业单位劳动关系协调</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6799" w:type="dxa"/>
            <w:shd w:val="clear" w:color="auto" w:fill="F1F1F1" w:themeFill="background1" w:themeFillShade="F2"/>
          </w:tcPr>
          <w:p>
            <w:pPr>
              <w:spacing w:line="360" w:lineRule="auto"/>
              <w:rPr>
                <w:rFonts w:ascii="Times New Roman" w:hAnsi="Times New Roman" w:cs="Times New Roman"/>
                <w:b/>
                <w:bCs/>
                <w:sz w:val="22"/>
                <w:szCs w:val="24"/>
              </w:rPr>
            </w:pPr>
            <w:r>
              <w:rPr>
                <w:rFonts w:ascii="Times New Roman" w:hAnsi="Times New Roman" w:cs="Times New Roman"/>
                <w:b/>
                <w:bCs/>
                <w:sz w:val="22"/>
                <w:szCs w:val="24"/>
              </w:rPr>
              <w:t>在企事业单位商业保险管理工作</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6799" w:type="dxa"/>
          </w:tcPr>
          <w:p>
            <w:pPr>
              <w:spacing w:line="360" w:lineRule="auto"/>
              <w:rPr>
                <w:rFonts w:ascii="Times New Roman" w:hAnsi="Times New Roman" w:cs="Times New Roman"/>
                <w:b/>
                <w:bCs/>
                <w:sz w:val="22"/>
                <w:szCs w:val="24"/>
              </w:rPr>
            </w:pPr>
            <w:r>
              <w:rPr>
                <w:rFonts w:ascii="Times New Roman" w:hAnsi="Times New Roman" w:cs="Times New Roman"/>
                <w:b/>
                <w:bCs/>
                <w:sz w:val="22"/>
                <w:szCs w:val="24"/>
              </w:rPr>
              <w:t>基层社区管理相关工作</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6799" w:type="dxa"/>
            <w:shd w:val="clear" w:color="auto" w:fill="F1F1F1" w:themeFill="background1" w:themeFillShade="F2"/>
          </w:tcPr>
          <w:p>
            <w:pPr>
              <w:spacing w:line="360" w:lineRule="auto"/>
              <w:rPr>
                <w:rFonts w:ascii="Times New Roman" w:hAnsi="Times New Roman" w:cs="Times New Roman"/>
                <w:b/>
                <w:bCs/>
                <w:sz w:val="22"/>
                <w:szCs w:val="24"/>
              </w:rPr>
            </w:pPr>
            <w:r>
              <w:rPr>
                <w:rFonts w:ascii="Times New Roman" w:hAnsi="Times New Roman" w:cs="Times New Roman"/>
                <w:b/>
                <w:bCs/>
                <w:sz w:val="22"/>
                <w:szCs w:val="24"/>
              </w:rPr>
              <w:t>高等院校和科研机构从事教学科研</w:t>
            </w:r>
          </w:p>
        </w:tc>
      </w:tr>
    </w:tbl>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核心课程：经济学原理、社会学、管理学、社会研究方法、公共经济学、公共管理学、劳动经济学、劳动关系、人力资源管理、薪酬管理、社会保障学、社会保障基金管理、社会保险、社会福利与救助、劳动与社会保障法、社会保障国际比较等。</w:t>
      </w: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r>
        <w:rPr>
          <w:rFonts w:ascii="Times New Roman" w:hAnsi="Times New Roman" w:cs="Times New Roman"/>
          <w:lang w:val="en-US"/>
        </w:rPr>
        <w:drawing>
          <wp:anchor distT="0" distB="0" distL="114300" distR="114300" simplePos="0" relativeHeight="251659264" behindDoc="0" locked="0" layoutInCell="1" allowOverlap="1">
            <wp:simplePos x="0" y="0"/>
            <wp:positionH relativeFrom="page">
              <wp:align>left</wp:align>
            </wp:positionH>
            <wp:positionV relativeFrom="paragraph">
              <wp:posOffset>192405</wp:posOffset>
            </wp:positionV>
            <wp:extent cx="7597140" cy="4022725"/>
            <wp:effectExtent l="0" t="0" r="3810" b="0"/>
            <wp:wrapNone/>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7597140" cy="4022876"/>
                    </a:xfrm>
                    <a:prstGeom prst="rect">
                      <a:avLst/>
                    </a:prstGeom>
                  </pic:spPr>
                </pic:pic>
              </a:graphicData>
            </a:graphic>
          </wp:anchor>
        </w:drawing>
      </w:r>
    </w:p>
    <w:p>
      <w:pPr>
        <w:spacing w:line="360" w:lineRule="auto"/>
        <w:rPr>
          <w:rFonts w:ascii="Times New Roman" w:hAnsi="Times New Roman" w:cs="Times New Roman"/>
          <w:sz w:val="24"/>
          <w:szCs w:val="24"/>
        </w:rPr>
      </w:pPr>
    </w:p>
    <w:p>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p>
    <w:p>
      <w:pPr>
        <w:spacing w:line="360" w:lineRule="auto"/>
        <w:ind w:firstLine="480" w:firstLineChars="200"/>
        <w:rPr>
          <w:rFonts w:ascii="Times New Roman" w:hAnsi="Times New Roman" w:cs="Times New Roman"/>
          <w:color w:val="FF0000"/>
          <w:sz w:val="24"/>
          <w:szCs w:val="24"/>
        </w:rPr>
      </w:pPr>
    </w:p>
    <w:p>
      <w:pPr>
        <w:spacing w:line="360" w:lineRule="auto"/>
        <w:ind w:firstLine="480" w:firstLineChars="200"/>
        <w:rPr>
          <w:rFonts w:ascii="Times New Roman" w:hAnsi="Times New Roman" w:cs="Times New Roman"/>
          <w:sz w:val="24"/>
          <w:szCs w:val="24"/>
        </w:rPr>
      </w:pPr>
    </w:p>
    <w:p>
      <w:pPr>
        <w:spacing w:line="360" w:lineRule="auto"/>
        <w:ind w:firstLine="480" w:firstLineChars="200"/>
        <w:rPr>
          <w:rFonts w:ascii="Times New Roman" w:hAnsi="Times New Roman" w:cs="Times New Roman"/>
          <w:sz w:val="24"/>
          <w:szCs w:val="24"/>
        </w:rPr>
      </w:pPr>
    </w:p>
    <w:p>
      <w:pPr>
        <w:spacing w:line="360" w:lineRule="auto"/>
        <w:ind w:firstLine="480" w:firstLineChars="200"/>
        <w:rPr>
          <w:rFonts w:ascii="Times New Roman" w:hAnsi="Times New Roman" w:cs="Times New Roman"/>
          <w:sz w:val="24"/>
          <w:szCs w:val="24"/>
        </w:rPr>
      </w:pPr>
    </w:p>
    <w:p>
      <w:pPr>
        <w:spacing w:line="360" w:lineRule="auto"/>
        <w:ind w:firstLine="480" w:firstLineChars="200"/>
        <w:rPr>
          <w:rFonts w:ascii="Times New Roman" w:hAnsi="Times New Roman" w:cs="Times New Roman"/>
          <w:sz w:val="24"/>
          <w:szCs w:val="24"/>
        </w:rPr>
      </w:pPr>
    </w:p>
    <w:p>
      <w:pPr>
        <w:spacing w:line="360" w:lineRule="auto"/>
        <w:ind w:firstLine="480" w:firstLineChars="200"/>
        <w:rPr>
          <w:rFonts w:ascii="Times New Roman" w:hAnsi="Times New Roman" w:cs="Times New Roman"/>
          <w:sz w:val="24"/>
          <w:szCs w:val="24"/>
        </w:rPr>
      </w:pPr>
    </w:p>
    <w:p>
      <w:pPr>
        <w:spacing w:line="360" w:lineRule="auto"/>
        <w:ind w:firstLine="480" w:firstLineChars="200"/>
        <w:rPr>
          <w:rFonts w:ascii="Times New Roman" w:hAnsi="Times New Roman" w:cs="Times New Roman"/>
          <w:sz w:val="24"/>
          <w:szCs w:val="24"/>
        </w:rPr>
      </w:pPr>
    </w:p>
    <w:p>
      <w:pPr>
        <w:spacing w:line="360" w:lineRule="auto"/>
        <w:rPr>
          <w:rFonts w:ascii="Times New Roman" w:hAnsi="Times New Roman" w:cs="Times New Roman"/>
          <w:sz w:val="24"/>
          <w:szCs w:val="24"/>
        </w:rPr>
      </w:pPr>
      <w:r>
        <w:rPr>
          <w:rFonts w:ascii="Times New Roman" w:hAnsi="Times New Roman" w:cs="Times New Roman"/>
          <w:lang w:val="en-US"/>
        </w:rPr>
        <w:drawing>
          <wp:anchor distT="0" distB="0" distL="114300" distR="114300" simplePos="0" relativeHeight="251660288" behindDoc="1" locked="0" layoutInCell="1" allowOverlap="1">
            <wp:simplePos x="0" y="0"/>
            <wp:positionH relativeFrom="page">
              <wp:align>left</wp:align>
            </wp:positionH>
            <wp:positionV relativeFrom="paragraph">
              <wp:posOffset>-904875</wp:posOffset>
            </wp:positionV>
            <wp:extent cx="7579995" cy="3138170"/>
            <wp:effectExtent l="0" t="0" r="1905" b="5715"/>
            <wp:wrapNone/>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7579995" cy="3138059"/>
                    </a:xfrm>
                    <a:prstGeom prst="rect">
                      <a:avLst/>
                    </a:prstGeom>
                  </pic:spPr>
                </pic:pic>
              </a:graphicData>
            </a:graphic>
          </wp:anchor>
        </w:drawing>
      </w:r>
    </w:p>
    <w:p>
      <w:pPr>
        <w:spacing w:line="360" w:lineRule="auto"/>
        <w:ind w:firstLine="480" w:firstLineChars="200"/>
        <w:rPr>
          <w:rFonts w:ascii="Times New Roman" w:hAnsi="Times New Roman" w:cs="Times New Roman"/>
          <w:sz w:val="24"/>
          <w:szCs w:val="24"/>
        </w:rPr>
      </w:pPr>
    </w:p>
    <w:p>
      <w:pPr>
        <w:widowControl/>
        <w:snapToGrid w:val="0"/>
        <w:spacing w:line="360" w:lineRule="auto"/>
        <w:ind w:firstLine="482" w:firstLineChars="200"/>
        <w:jc w:val="left"/>
        <w:rPr>
          <w:rFonts w:ascii="Times New Roman" w:hAnsi="Times New Roman" w:cs="Times New Roman"/>
          <w:b/>
          <w:color w:val="444444"/>
          <w:kern w:val="0"/>
          <w:sz w:val="24"/>
          <w:szCs w:val="24"/>
        </w:rPr>
      </w:pP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spacing w:line="360" w:lineRule="auto"/>
        <w:rPr>
          <w:rFonts w:ascii="Times New Roman" w:hAnsi="Times New Roman" w:cs="Times New Roman"/>
          <w:b/>
          <w:sz w:val="28"/>
          <w:szCs w:val="24"/>
        </w:rPr>
      </w:pPr>
    </w:p>
    <w:p>
      <w:pPr>
        <w:spacing w:line="360" w:lineRule="auto"/>
        <w:rPr>
          <w:rFonts w:ascii="Times New Roman" w:hAnsi="Times New Roman" w:cs="Times New Roman"/>
          <w:b/>
          <w:sz w:val="28"/>
          <w:szCs w:val="24"/>
        </w:rPr>
      </w:pPr>
      <w:r>
        <w:rPr>
          <w:rFonts w:ascii="Times New Roman" w:hAnsi="Times New Roman" w:cs="Times New Roman"/>
          <w:b/>
          <w:sz w:val="28"/>
          <w:szCs w:val="24"/>
        </w:rPr>
        <w:t>公共事业管理专业</w:t>
      </w:r>
    </w:p>
    <w:p>
      <w:pPr>
        <w:spacing w:line="360" w:lineRule="auto"/>
        <w:rPr>
          <w:rFonts w:ascii="Times New Roman" w:hAnsi="Times New Roman" w:cs="Times New Roman"/>
          <w:sz w:val="24"/>
          <w:szCs w:val="24"/>
        </w:rPr>
      </w:pPr>
      <w:r>
        <w:rPr>
          <w:rFonts w:ascii="Times New Roman" w:hAnsi="Times New Roman" w:cs="Times New Roman"/>
          <w:sz w:val="24"/>
          <w:szCs w:val="24"/>
        </w:rPr>
        <w:tab/>
      </w:r>
    </w:p>
    <w:p>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本专业培养适应社会经济发展需要，德智体美全面发展，践行社会主义核心价值观，具有社会责任感和公共意识、公共精神，具备扎实公共事业管理理论基础，掌握国家公共政策法规，熟悉电子政务等实务操作技能，具备服务面向京津冀及其他经济区域发展长期所需要的知识和技能，富有国际视野、创新精神与创新创业能力的高素质现代公共管理专门人才。</w:t>
      </w:r>
    </w:p>
    <w:p>
      <w:pPr>
        <w:spacing w:line="360" w:lineRule="auto"/>
        <w:rPr>
          <w:rFonts w:hint="eastAsia"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在校期间着重培养学生“通识能力”、“专业能力”和“实践能力”。</w:t>
      </w:r>
    </w:p>
    <w:p>
      <w:pPr>
        <w:spacing w:line="52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rPr>
        <w:t>培养目标的特色</w:t>
      </w:r>
    </w:p>
    <w:p>
      <w:pPr>
        <w:spacing w:line="52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rPr>
        <w:t>第一，鉴于公共事业管理专业与公共部门的天然强联系以及以往各届毕业生就业特点，依托我校“双一流”高标准高要求的建设发展平台，将党政机关、事业单位（包括高校）等公共部门作为本专业学生就业深造的主要去向，并力促成为精英人才。本专业将采取更多切实措施力保此培养特色目标方向的高效实现，使本专业成为未来公务人员和未来公共管理专家学者的培养启航港。</w:t>
      </w:r>
    </w:p>
    <w:p>
      <w:pPr>
        <w:spacing w:line="52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rPr>
        <w:t>第二，将服务于京津冀区域作为本专业提升影响力的主要区域。</w:t>
      </w:r>
    </w:p>
    <w:p>
      <w:pPr>
        <w:spacing w:line="52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rPr>
        <w:t>第三，本专业培养的学生应有较强社会适应能力和社会责任感，不仅能在各种单位施展才华，还能适应新时代发展趋势，能“创新创业”，甚至为社会创造就业岗位，故将“创新创业能力”培养作为本专业的一个培养目标，此也契合我校“工学并举”的办学特色，并力求通过通识课程及第二课堂等，将我校在理工科的优势有机融于本专业学生素质提升之中。</w:t>
      </w: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学生毕业后能够工作的领域有：</w:t>
      </w:r>
    </w:p>
    <w:p>
      <w:pPr>
        <w:spacing w:line="360" w:lineRule="auto"/>
        <w:rPr>
          <w:rFonts w:ascii="Times New Roman" w:hAnsi="Times New Roman" w:cs="Times New Roman"/>
          <w:sz w:val="24"/>
          <w:szCs w:val="24"/>
        </w:rPr>
      </w:pPr>
    </w:p>
    <w:tbl>
      <w:tblPr>
        <w:tblStyle w:val="12"/>
        <w:tblW w:w="0" w:type="auto"/>
        <w:jc w:val="cente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2551"/>
        <w:gridCol w:w="3119"/>
      </w:tblGrid>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577" w:hRule="atLeast"/>
          <w:jc w:val="center"/>
        </w:trPr>
        <w:tc>
          <w:tcPr>
            <w:tcW w:w="2551" w:type="dxa"/>
          </w:tcPr>
          <w:p>
            <w:pPr>
              <w:spacing w:line="360" w:lineRule="auto"/>
              <w:jc w:val="center"/>
              <w:rPr>
                <w:rFonts w:ascii="Times New Roman" w:hAnsi="Times New Roman" w:cs="Times New Roman"/>
                <w:b/>
                <w:bCs/>
                <w:sz w:val="22"/>
                <w:szCs w:val="24"/>
              </w:rPr>
            </w:pPr>
            <w:r>
              <w:rPr>
                <w:rFonts w:ascii="Times New Roman" w:hAnsi="Times New Roman" w:cs="Times New Roman"/>
                <w:b/>
                <w:bCs/>
                <w:sz w:val="22"/>
                <w:szCs w:val="24"/>
              </w:rPr>
              <w:t>党政机关</w:t>
            </w:r>
          </w:p>
        </w:tc>
        <w:tc>
          <w:tcPr>
            <w:tcW w:w="3119" w:type="dxa"/>
            <w:vMerge w:val="restart"/>
          </w:tcPr>
          <w:p>
            <w:pPr>
              <w:spacing w:line="360" w:lineRule="auto"/>
              <w:jc w:val="center"/>
              <w:rPr>
                <w:rFonts w:ascii="Times New Roman" w:hAnsi="Times New Roman" w:cs="Times New Roman"/>
                <w:b/>
                <w:bCs/>
                <w:sz w:val="22"/>
                <w:szCs w:val="24"/>
              </w:rPr>
            </w:pPr>
            <w:r>
              <w:rPr>
                <w:rFonts w:ascii="Times New Roman" w:hAnsi="Times New Roman" w:cs="Times New Roman"/>
                <w:b/>
                <w:bCs/>
                <w:sz w:val="22"/>
                <w:szCs w:val="24"/>
              </w:rPr>
              <w:t>从事公共政策分析与研究、</w:t>
            </w:r>
          </w:p>
          <w:p>
            <w:pPr>
              <w:spacing w:line="360" w:lineRule="auto"/>
              <w:jc w:val="center"/>
              <w:rPr>
                <w:rFonts w:ascii="Times New Roman" w:hAnsi="Times New Roman" w:cs="Times New Roman"/>
                <w:b/>
                <w:bCs/>
                <w:sz w:val="22"/>
                <w:szCs w:val="24"/>
              </w:rPr>
            </w:pPr>
            <w:r>
              <w:rPr>
                <w:rFonts w:ascii="Times New Roman" w:hAnsi="Times New Roman" w:cs="Times New Roman"/>
                <w:b/>
                <w:bCs/>
                <w:sz w:val="22"/>
                <w:szCs w:val="24"/>
              </w:rPr>
              <w:t>公共项目管理、</w:t>
            </w:r>
          </w:p>
          <w:p>
            <w:pPr>
              <w:spacing w:line="360" w:lineRule="auto"/>
              <w:jc w:val="center"/>
              <w:rPr>
                <w:rFonts w:ascii="Times New Roman" w:hAnsi="Times New Roman" w:cs="Times New Roman"/>
                <w:b/>
                <w:bCs/>
                <w:sz w:val="22"/>
                <w:szCs w:val="24"/>
              </w:rPr>
            </w:pPr>
            <w:r>
              <w:rPr>
                <w:rFonts w:ascii="Times New Roman" w:hAnsi="Times New Roman" w:cs="Times New Roman"/>
                <w:b/>
                <w:bCs/>
                <w:sz w:val="22"/>
                <w:szCs w:val="24"/>
              </w:rPr>
              <w:t>公共关系管理、</w:t>
            </w:r>
          </w:p>
          <w:p>
            <w:pPr>
              <w:spacing w:line="360" w:lineRule="auto"/>
              <w:jc w:val="center"/>
              <w:rPr>
                <w:rFonts w:ascii="Times New Roman" w:hAnsi="Times New Roman" w:cs="Times New Roman"/>
                <w:b/>
                <w:bCs/>
                <w:sz w:val="22"/>
                <w:szCs w:val="24"/>
              </w:rPr>
            </w:pPr>
            <w:r>
              <w:rPr>
                <w:rFonts w:ascii="Times New Roman" w:hAnsi="Times New Roman" w:cs="Times New Roman"/>
                <w:b/>
                <w:bCs/>
                <w:sz w:val="22"/>
                <w:szCs w:val="24"/>
              </w:rPr>
              <w:t>公共组织运营、</w:t>
            </w:r>
          </w:p>
          <w:p>
            <w:pPr>
              <w:spacing w:line="360" w:lineRule="auto"/>
              <w:jc w:val="center"/>
              <w:rPr>
                <w:rFonts w:ascii="Times New Roman" w:hAnsi="Times New Roman" w:cs="Times New Roman"/>
                <w:b/>
                <w:bCs/>
                <w:sz w:val="22"/>
                <w:szCs w:val="24"/>
              </w:rPr>
            </w:pPr>
            <w:r>
              <w:rPr>
                <w:rFonts w:ascii="Times New Roman" w:hAnsi="Times New Roman" w:cs="Times New Roman"/>
                <w:b/>
                <w:bCs/>
                <w:sz w:val="22"/>
                <w:szCs w:val="24"/>
              </w:rPr>
              <w:t>行政管理等系列工作</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578" w:hRule="atLeast"/>
          <w:jc w:val="center"/>
        </w:trPr>
        <w:tc>
          <w:tcPr>
            <w:tcW w:w="2551" w:type="dxa"/>
            <w:shd w:val="clear" w:color="auto" w:fill="F1F1F1" w:themeFill="background1" w:themeFillShade="F2"/>
          </w:tcPr>
          <w:p>
            <w:pPr>
              <w:spacing w:line="360" w:lineRule="auto"/>
              <w:jc w:val="center"/>
              <w:rPr>
                <w:rFonts w:ascii="Times New Roman" w:hAnsi="Times New Roman" w:cs="Times New Roman"/>
                <w:b/>
                <w:bCs/>
                <w:sz w:val="22"/>
                <w:szCs w:val="24"/>
              </w:rPr>
            </w:pPr>
            <w:r>
              <w:rPr>
                <w:rFonts w:ascii="Times New Roman" w:hAnsi="Times New Roman" w:cs="Times New Roman"/>
                <w:b/>
                <w:bCs/>
                <w:sz w:val="22"/>
                <w:szCs w:val="24"/>
              </w:rPr>
              <w:t>事业单位</w:t>
            </w:r>
          </w:p>
        </w:tc>
        <w:tc>
          <w:tcPr>
            <w:tcW w:w="3119" w:type="dxa"/>
            <w:vMerge w:val="continue"/>
            <w:shd w:val="clear" w:color="auto" w:fill="F1F1F1" w:themeFill="background1" w:themeFillShade="F2"/>
          </w:tcPr>
          <w:p>
            <w:pPr>
              <w:spacing w:line="360" w:lineRule="auto"/>
              <w:rPr>
                <w:rFonts w:ascii="Times New Roman" w:hAnsi="Times New Roman" w:cs="Times New Roman"/>
                <w:sz w:val="22"/>
                <w:szCs w:val="24"/>
              </w:rPr>
            </w:pP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577" w:hRule="atLeast"/>
          <w:jc w:val="center"/>
        </w:trPr>
        <w:tc>
          <w:tcPr>
            <w:tcW w:w="2551" w:type="dxa"/>
          </w:tcPr>
          <w:p>
            <w:pPr>
              <w:spacing w:line="360" w:lineRule="auto"/>
              <w:jc w:val="center"/>
              <w:rPr>
                <w:rFonts w:ascii="Times New Roman" w:hAnsi="Times New Roman" w:cs="Times New Roman"/>
                <w:b/>
                <w:bCs/>
                <w:sz w:val="22"/>
                <w:szCs w:val="24"/>
              </w:rPr>
            </w:pPr>
            <w:r>
              <w:rPr>
                <w:rFonts w:ascii="Times New Roman" w:hAnsi="Times New Roman" w:cs="Times New Roman"/>
                <w:b/>
                <w:bCs/>
                <w:sz w:val="22"/>
                <w:szCs w:val="24"/>
              </w:rPr>
              <w:t>社会团体等公共部门</w:t>
            </w:r>
          </w:p>
        </w:tc>
        <w:tc>
          <w:tcPr>
            <w:tcW w:w="3119" w:type="dxa"/>
            <w:vMerge w:val="continue"/>
          </w:tcPr>
          <w:p>
            <w:pPr>
              <w:spacing w:line="360" w:lineRule="auto"/>
              <w:rPr>
                <w:rFonts w:ascii="Times New Roman" w:hAnsi="Times New Roman" w:cs="Times New Roman"/>
                <w:sz w:val="22"/>
                <w:szCs w:val="24"/>
              </w:rPr>
            </w:pP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578" w:hRule="atLeast"/>
          <w:jc w:val="center"/>
        </w:trPr>
        <w:tc>
          <w:tcPr>
            <w:tcW w:w="2551" w:type="dxa"/>
            <w:shd w:val="clear" w:color="auto" w:fill="F1F1F1" w:themeFill="background1" w:themeFillShade="F2"/>
          </w:tcPr>
          <w:p>
            <w:pPr>
              <w:spacing w:line="360" w:lineRule="auto"/>
              <w:jc w:val="center"/>
              <w:rPr>
                <w:rFonts w:ascii="Times New Roman" w:hAnsi="Times New Roman" w:cs="Times New Roman"/>
                <w:b/>
                <w:bCs/>
                <w:sz w:val="22"/>
                <w:szCs w:val="24"/>
              </w:rPr>
            </w:pPr>
            <w:r>
              <w:rPr>
                <w:rFonts w:ascii="Times New Roman" w:hAnsi="Times New Roman" w:cs="Times New Roman"/>
                <w:b/>
                <w:bCs/>
                <w:sz w:val="22"/>
                <w:szCs w:val="24"/>
              </w:rPr>
              <w:t>其他公共管理单位</w:t>
            </w:r>
          </w:p>
        </w:tc>
        <w:tc>
          <w:tcPr>
            <w:tcW w:w="3119" w:type="dxa"/>
            <w:vMerge w:val="continue"/>
            <w:shd w:val="clear" w:color="auto" w:fill="F1F1F1" w:themeFill="background1" w:themeFillShade="F2"/>
          </w:tcPr>
          <w:p>
            <w:pPr>
              <w:spacing w:line="360" w:lineRule="auto"/>
              <w:rPr>
                <w:rFonts w:ascii="Times New Roman" w:hAnsi="Times New Roman" w:cs="Times New Roman"/>
                <w:sz w:val="22"/>
                <w:szCs w:val="24"/>
              </w:rPr>
            </w:pPr>
          </w:p>
        </w:tc>
      </w:tr>
    </w:tbl>
    <w:p>
      <w:pPr>
        <w:spacing w:line="360" w:lineRule="auto"/>
        <w:rPr>
          <w:rFonts w:ascii="Times New Roman" w:hAnsi="Times New Roman" w:cs="Times New Roman"/>
          <w:sz w:val="24"/>
          <w:szCs w:val="24"/>
        </w:rPr>
      </w:pPr>
    </w:p>
    <w:p>
      <w:pPr>
        <w:spacing w:line="360" w:lineRule="auto"/>
        <w:rPr>
          <w:rFonts w:hint="eastAsia"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核心课程：管理学、政治学、公共管理学、公共管理法律基础、财政学（公共经济学）、公共事业管理学、公共组织财务管理、公共项目管理、公共政策分析、公共组织管理、市政管理学。</w:t>
      </w:r>
    </w:p>
    <w:p>
      <w:pPr>
        <w:spacing w:line="360" w:lineRule="auto"/>
        <w:rPr>
          <w:rFonts w:hint="eastAsia" w:ascii="Times New Roman" w:hAnsi="Times New Roman" w:cs="Times New Roman"/>
          <w:sz w:val="24"/>
          <w:szCs w:val="24"/>
        </w:rPr>
      </w:pPr>
    </w:p>
    <w:p>
      <w:pPr>
        <w:spacing w:line="360" w:lineRule="auto"/>
        <w:rPr>
          <w:rFonts w:hint="eastAsia" w:ascii="Times New Roman" w:hAnsi="Times New Roman" w:cs="Times New Roman"/>
          <w:sz w:val="24"/>
          <w:szCs w:val="24"/>
        </w:rPr>
      </w:pPr>
    </w:p>
    <w:p>
      <w:pPr>
        <w:spacing w:line="360" w:lineRule="auto"/>
        <w:rPr>
          <w:rFonts w:hint="eastAsia" w:ascii="Times New Roman" w:hAnsi="Times New Roman" w:cs="Times New Roman"/>
          <w:sz w:val="24"/>
          <w:szCs w:val="24"/>
        </w:rPr>
      </w:pPr>
    </w:p>
    <w:p>
      <w:pPr>
        <w:spacing w:line="360" w:lineRule="auto"/>
        <w:rPr>
          <w:rFonts w:hint="eastAsia" w:ascii="Times New Roman" w:hAnsi="Times New Roman" w:cs="Times New Roman"/>
          <w:sz w:val="24"/>
          <w:szCs w:val="24"/>
        </w:rPr>
      </w:pPr>
    </w:p>
    <w:p>
      <w:pPr>
        <w:spacing w:line="360" w:lineRule="auto"/>
        <w:rPr>
          <w:rFonts w:hint="eastAsia" w:ascii="Times New Roman" w:hAnsi="Times New Roman" w:cs="Times New Roman"/>
          <w:sz w:val="24"/>
          <w:szCs w:val="24"/>
        </w:rPr>
      </w:pPr>
    </w:p>
    <w:p>
      <w:pPr>
        <w:spacing w:line="360" w:lineRule="auto"/>
        <w:rPr>
          <w:rFonts w:hint="eastAsia" w:ascii="Times New Roman" w:hAnsi="Times New Roman" w:cs="Times New Roman"/>
          <w:sz w:val="24"/>
          <w:szCs w:val="24"/>
        </w:rPr>
      </w:pPr>
    </w:p>
    <w:p>
      <w:pPr>
        <w:spacing w:line="360" w:lineRule="auto"/>
        <w:rPr>
          <w:rFonts w:hint="eastAsia" w:ascii="Times New Roman" w:hAnsi="Times New Roman" w:cs="Times New Roman"/>
          <w:sz w:val="24"/>
          <w:szCs w:val="24"/>
        </w:rPr>
      </w:pPr>
    </w:p>
    <w:p>
      <w:pPr>
        <w:spacing w:line="360" w:lineRule="auto"/>
        <w:rPr>
          <w:rFonts w:hint="eastAsia" w:ascii="Times New Roman" w:hAnsi="Times New Roman" w:cs="Times New Roman"/>
          <w:sz w:val="24"/>
          <w:szCs w:val="24"/>
        </w:rPr>
      </w:pPr>
    </w:p>
    <w:p>
      <w:pPr>
        <w:spacing w:line="360" w:lineRule="auto"/>
        <w:rPr>
          <w:rFonts w:hint="eastAsia" w:ascii="Times New Roman" w:hAnsi="Times New Roman" w:cs="Times New Roman"/>
          <w:sz w:val="24"/>
          <w:szCs w:val="24"/>
        </w:rPr>
      </w:pPr>
    </w:p>
    <w:p>
      <w:pPr>
        <w:spacing w:line="360" w:lineRule="auto"/>
        <w:rPr>
          <w:rFonts w:hint="eastAsia" w:ascii="Times New Roman" w:hAnsi="Times New Roman" w:cs="Times New Roman"/>
          <w:sz w:val="24"/>
          <w:szCs w:val="24"/>
        </w:rPr>
      </w:pPr>
    </w:p>
    <w:p>
      <w:pPr>
        <w:spacing w:line="360" w:lineRule="auto"/>
        <w:rPr>
          <w:rFonts w:hint="eastAsia" w:ascii="Times New Roman" w:hAnsi="Times New Roman" w:cs="Times New Roman"/>
          <w:sz w:val="24"/>
          <w:szCs w:val="24"/>
        </w:rPr>
      </w:pPr>
    </w:p>
    <w:p>
      <w:pPr>
        <w:spacing w:line="360" w:lineRule="auto"/>
        <w:rPr>
          <w:rFonts w:hint="eastAsia" w:ascii="Times New Roman" w:hAnsi="Times New Roman" w:cs="Times New Roman"/>
          <w:sz w:val="24"/>
          <w:szCs w:val="24"/>
        </w:rPr>
      </w:pPr>
    </w:p>
    <w:p>
      <w:pPr>
        <w:spacing w:line="360" w:lineRule="auto"/>
        <w:rPr>
          <w:rFonts w:hint="eastAsia" w:ascii="Times New Roman" w:hAnsi="Times New Roman" w:cs="Times New Roman"/>
          <w:b/>
          <w:bCs/>
          <w:sz w:val="48"/>
          <w:szCs w:val="48"/>
          <w:lang w:val="en-US" w:eastAsia="zh-CN"/>
        </w:rPr>
      </w:pPr>
    </w:p>
    <w:p>
      <w:pPr>
        <w:spacing w:line="360" w:lineRule="auto"/>
        <w:ind w:firstLine="964" w:firstLineChars="200"/>
        <w:rPr>
          <w:rFonts w:hint="eastAsia" w:ascii="Times New Roman" w:hAnsi="Times New Roman" w:cs="Times New Roman"/>
          <w:b/>
          <w:bCs/>
          <w:sz w:val="48"/>
          <w:szCs w:val="48"/>
          <w:lang w:val="en-US" w:eastAsia="zh-CN"/>
        </w:rPr>
      </w:pPr>
      <w:r>
        <w:rPr>
          <w:rFonts w:hint="eastAsia" w:ascii="Times New Roman" w:hAnsi="Times New Roman" w:cs="Times New Roman"/>
          <w:b/>
          <w:bCs/>
          <w:sz w:val="48"/>
          <w:szCs w:val="48"/>
          <w:lang w:val="en-US" w:eastAsia="zh-CN"/>
        </w:rPr>
        <w:t>二、专业培养方案</w:t>
      </w:r>
    </w:p>
    <w:p>
      <w:pPr>
        <w:spacing w:line="360" w:lineRule="auto"/>
        <w:ind w:firstLine="964" w:firstLineChars="400"/>
        <w:rPr>
          <w:rFonts w:hint="default"/>
          <w:b/>
          <w:bCs/>
          <w:sz w:val="24"/>
          <w:lang w:val="en-US" w:eastAsia="zh-CN"/>
        </w:rPr>
      </w:pPr>
      <w:r>
        <w:rPr>
          <w:rFonts w:hint="eastAsia"/>
          <w:b/>
          <w:bCs/>
          <w:sz w:val="24"/>
          <w:lang w:val="en-US" w:eastAsia="zh-CN"/>
        </w:rPr>
        <w:t>具体另见文档：两个专业的培养方案</w:t>
      </w:r>
    </w:p>
    <w:p>
      <w:pPr>
        <w:spacing w:line="360" w:lineRule="auto"/>
        <w:rPr>
          <w:rFonts w:ascii="Times New Roman" w:hAnsi="Times New Roman" w:cs="Times New Roman"/>
          <w:sz w:val="24"/>
          <w:szCs w:val="24"/>
        </w:rPr>
      </w:pPr>
    </w:p>
    <w:p>
      <w:pPr>
        <w:spacing w:line="600" w:lineRule="auto"/>
        <w:ind w:firstLine="964" w:firstLineChars="200"/>
        <w:jc w:val="both"/>
        <w:rPr>
          <w:rFonts w:hint="default" w:ascii="Times New Roman" w:hAnsi="Times New Roman" w:cs="Times New Roman"/>
          <w:b/>
          <w:bCs/>
          <w:sz w:val="48"/>
          <w:szCs w:val="48"/>
          <w:lang w:val="en-US" w:eastAsia="zh-CN"/>
        </w:rPr>
      </w:pPr>
      <w:r>
        <w:rPr>
          <w:rFonts w:hint="eastAsia" w:ascii="Times New Roman" w:hAnsi="Times New Roman" w:cs="Times New Roman"/>
          <w:b/>
          <w:bCs/>
          <w:sz w:val="48"/>
          <w:szCs w:val="48"/>
          <w:lang w:val="en-US" w:eastAsia="zh-CN"/>
        </w:rPr>
        <w:t>三、实施办法</w:t>
      </w:r>
    </w:p>
    <w:p>
      <w:pPr>
        <w:spacing w:after="312" w:line="360" w:lineRule="auto"/>
        <w:jc w:val="center"/>
        <w:textAlignment w:val="baseline"/>
        <w:rPr>
          <w:rStyle w:val="17"/>
          <w:rFonts w:cs="Times New Roman"/>
          <w:b/>
          <w:bCs/>
          <w:kern w:val="2"/>
          <w:sz w:val="36"/>
          <w:szCs w:val="24"/>
          <w:lang w:val="en-US" w:eastAsia="zh-CN" w:bidi="ar-SA"/>
        </w:rPr>
      </w:pPr>
      <w:r>
        <w:rPr>
          <w:rStyle w:val="17"/>
          <w:rFonts w:cs="Times New Roman"/>
          <w:b/>
          <w:bCs/>
          <w:kern w:val="2"/>
          <w:sz w:val="36"/>
          <w:szCs w:val="24"/>
          <w:lang w:val="en-US" w:eastAsia="zh-CN" w:bidi="ar-SA"/>
        </w:rPr>
        <w:t>人文与法律学院本科生专业分流实施办法</w:t>
      </w:r>
    </w:p>
    <w:p>
      <w:pPr>
        <w:spacing w:line="360" w:lineRule="auto"/>
        <w:ind w:firstLine="480" w:firstLineChars="200"/>
        <w:jc w:val="both"/>
        <w:textAlignment w:val="baseline"/>
        <w:rPr>
          <w:rStyle w:val="17"/>
          <w:kern w:val="2"/>
          <w:sz w:val="24"/>
          <w:szCs w:val="24"/>
          <w:lang w:val="en-US" w:eastAsia="zh-CN" w:bidi="ar-SA"/>
        </w:rPr>
      </w:pPr>
      <w:r>
        <w:rPr>
          <w:rStyle w:val="17"/>
          <w:rFonts w:hint="eastAsia"/>
          <w:kern w:val="2"/>
          <w:sz w:val="24"/>
          <w:szCs w:val="24"/>
          <w:lang w:val="en-US" w:eastAsia="zh-CN" w:bidi="ar-SA"/>
        </w:rPr>
        <w:t>根据</w:t>
      </w:r>
      <w:r>
        <w:rPr>
          <w:rStyle w:val="17"/>
          <w:kern w:val="2"/>
          <w:sz w:val="24"/>
          <w:szCs w:val="24"/>
          <w:lang w:val="en-US" w:eastAsia="zh-CN" w:bidi="ar-SA"/>
        </w:rPr>
        <w:t>学院2019年公共管理本科大类招生</w:t>
      </w:r>
      <w:r>
        <w:rPr>
          <w:rStyle w:val="17"/>
          <w:rFonts w:hint="eastAsia"/>
          <w:kern w:val="2"/>
          <w:sz w:val="24"/>
          <w:szCs w:val="24"/>
          <w:lang w:val="en-US" w:eastAsia="zh-CN" w:bidi="ar-SA"/>
        </w:rPr>
        <w:t>和培养规划</w:t>
      </w:r>
      <w:r>
        <w:rPr>
          <w:rStyle w:val="17"/>
          <w:kern w:val="2"/>
          <w:sz w:val="24"/>
          <w:szCs w:val="24"/>
          <w:lang w:val="en-US" w:eastAsia="zh-CN" w:bidi="ar-SA"/>
        </w:rPr>
        <w:t>，</w:t>
      </w:r>
      <w:r>
        <w:rPr>
          <w:rStyle w:val="17"/>
          <w:rFonts w:hint="eastAsia"/>
          <w:kern w:val="2"/>
          <w:sz w:val="24"/>
          <w:szCs w:val="24"/>
          <w:lang w:val="en-US" w:eastAsia="zh-CN" w:bidi="ar-SA"/>
        </w:rPr>
        <w:t>第二学期末开展</w:t>
      </w:r>
      <w:r>
        <w:rPr>
          <w:rStyle w:val="17"/>
          <w:kern w:val="2"/>
          <w:sz w:val="24"/>
          <w:szCs w:val="24"/>
          <w:lang w:val="en-US" w:eastAsia="zh-CN" w:bidi="ar-SA"/>
        </w:rPr>
        <w:t>专业分流</w:t>
      </w:r>
      <w:r>
        <w:rPr>
          <w:rStyle w:val="17"/>
          <w:rFonts w:hint="eastAsia"/>
          <w:kern w:val="2"/>
          <w:sz w:val="24"/>
          <w:szCs w:val="24"/>
          <w:lang w:val="en-US" w:eastAsia="zh-CN" w:bidi="ar-SA"/>
        </w:rPr>
        <w:t>工作</w:t>
      </w:r>
      <w:r>
        <w:rPr>
          <w:rStyle w:val="17"/>
          <w:kern w:val="2"/>
          <w:sz w:val="24"/>
          <w:szCs w:val="24"/>
          <w:lang w:val="en-US" w:eastAsia="zh-CN" w:bidi="ar-SA"/>
        </w:rPr>
        <w:t>，在总结我院公共管理类本科生培养工作实践的基础上，制定专业分流具体实施办法。</w:t>
      </w:r>
    </w:p>
    <w:p>
      <w:pPr>
        <w:spacing w:line="360" w:lineRule="auto"/>
        <w:ind w:firstLine="482" w:firstLineChars="200"/>
        <w:jc w:val="both"/>
        <w:textAlignment w:val="baseline"/>
        <w:rPr>
          <w:rStyle w:val="17"/>
          <w:rFonts w:cs="Times New Roman"/>
          <w:b/>
          <w:bCs/>
          <w:kern w:val="2"/>
          <w:sz w:val="24"/>
          <w:szCs w:val="24"/>
          <w:lang w:val="en-US" w:eastAsia="zh-CN" w:bidi="ar-SA"/>
        </w:rPr>
      </w:pPr>
      <w:r>
        <w:rPr>
          <w:rStyle w:val="17"/>
          <w:rFonts w:cs="Times New Roman"/>
          <w:b/>
          <w:bCs/>
          <w:kern w:val="2"/>
          <w:sz w:val="24"/>
          <w:szCs w:val="24"/>
          <w:lang w:val="en-US" w:eastAsia="zh-CN" w:bidi="ar-SA"/>
        </w:rPr>
        <w:t>一、专业分流原则</w:t>
      </w:r>
    </w:p>
    <w:p>
      <w:pPr>
        <w:spacing w:line="360" w:lineRule="auto"/>
        <w:ind w:firstLine="480" w:firstLineChars="200"/>
        <w:jc w:val="both"/>
        <w:textAlignment w:val="baseline"/>
        <w:rPr>
          <w:rStyle w:val="17"/>
          <w:kern w:val="2"/>
          <w:sz w:val="24"/>
          <w:szCs w:val="24"/>
          <w:lang w:val="en-US" w:eastAsia="zh-CN" w:bidi="ar-SA"/>
        </w:rPr>
      </w:pPr>
      <w:r>
        <w:rPr>
          <w:rStyle w:val="17"/>
          <w:kern w:val="2"/>
          <w:sz w:val="24"/>
          <w:szCs w:val="24"/>
          <w:lang w:val="en-US" w:eastAsia="zh-CN" w:bidi="ar-SA"/>
        </w:rPr>
        <w:t>1.“公开、公平、公正”的原则</w:t>
      </w:r>
      <w:r>
        <w:rPr>
          <w:rStyle w:val="17"/>
          <w:rFonts w:hint="eastAsia"/>
          <w:kern w:val="2"/>
          <w:sz w:val="24"/>
          <w:szCs w:val="24"/>
          <w:lang w:val="en-US" w:eastAsia="zh-CN" w:bidi="ar-SA"/>
        </w:rPr>
        <w:t>。</w:t>
      </w:r>
    </w:p>
    <w:p>
      <w:pPr>
        <w:spacing w:line="360" w:lineRule="auto"/>
        <w:ind w:firstLine="480" w:firstLineChars="200"/>
        <w:jc w:val="both"/>
        <w:textAlignment w:val="baseline"/>
        <w:rPr>
          <w:rStyle w:val="17"/>
          <w:kern w:val="2"/>
          <w:sz w:val="24"/>
          <w:szCs w:val="24"/>
          <w:lang w:val="en-US" w:eastAsia="zh-CN" w:bidi="ar-SA"/>
        </w:rPr>
      </w:pPr>
      <w:r>
        <w:rPr>
          <w:rStyle w:val="17"/>
          <w:kern w:val="2"/>
          <w:sz w:val="24"/>
          <w:szCs w:val="24"/>
          <w:lang w:val="en-US" w:eastAsia="zh-CN" w:bidi="ar-SA"/>
        </w:rPr>
        <w:t>2.有利于促进学风建设、学生素质教育和创新精神培养的原则</w:t>
      </w:r>
      <w:r>
        <w:rPr>
          <w:rStyle w:val="17"/>
          <w:rFonts w:hint="eastAsia"/>
          <w:kern w:val="2"/>
          <w:sz w:val="24"/>
          <w:szCs w:val="24"/>
          <w:lang w:val="en-US" w:eastAsia="zh-CN" w:bidi="ar-SA"/>
        </w:rPr>
        <w:t>。</w:t>
      </w:r>
    </w:p>
    <w:p>
      <w:pPr>
        <w:spacing w:line="360" w:lineRule="auto"/>
        <w:ind w:firstLine="480" w:firstLineChars="200"/>
        <w:jc w:val="both"/>
        <w:textAlignment w:val="baseline"/>
        <w:rPr>
          <w:rStyle w:val="17"/>
          <w:kern w:val="2"/>
          <w:sz w:val="24"/>
          <w:szCs w:val="24"/>
          <w:lang w:val="en-US" w:eastAsia="zh-CN" w:bidi="ar-SA"/>
        </w:rPr>
      </w:pPr>
      <w:r>
        <w:rPr>
          <w:rStyle w:val="17"/>
          <w:kern w:val="2"/>
          <w:sz w:val="24"/>
          <w:szCs w:val="24"/>
          <w:lang w:val="en-US" w:eastAsia="zh-CN" w:bidi="ar-SA"/>
        </w:rPr>
        <w:t>3.有利于培养社会需求人才的原则</w:t>
      </w:r>
      <w:r>
        <w:rPr>
          <w:rStyle w:val="17"/>
          <w:rFonts w:hint="eastAsia"/>
          <w:kern w:val="2"/>
          <w:sz w:val="24"/>
          <w:szCs w:val="24"/>
          <w:lang w:val="en-US" w:eastAsia="zh-CN" w:bidi="ar-SA"/>
        </w:rPr>
        <w:t>。</w:t>
      </w:r>
    </w:p>
    <w:p>
      <w:pPr>
        <w:spacing w:line="360" w:lineRule="auto"/>
        <w:ind w:firstLine="480" w:firstLineChars="200"/>
        <w:jc w:val="both"/>
        <w:textAlignment w:val="baseline"/>
        <w:rPr>
          <w:rStyle w:val="17"/>
          <w:kern w:val="2"/>
          <w:sz w:val="24"/>
          <w:szCs w:val="24"/>
          <w:lang w:val="en-US" w:eastAsia="zh-CN" w:bidi="ar-SA"/>
        </w:rPr>
      </w:pPr>
      <w:r>
        <w:rPr>
          <w:rStyle w:val="17"/>
          <w:kern w:val="2"/>
          <w:sz w:val="24"/>
          <w:szCs w:val="24"/>
          <w:lang w:val="en-US" w:eastAsia="zh-CN" w:bidi="ar-SA"/>
        </w:rPr>
        <w:t>4.有利于学生个性发展。</w:t>
      </w:r>
    </w:p>
    <w:p>
      <w:pPr>
        <w:spacing w:line="360" w:lineRule="auto"/>
        <w:ind w:firstLine="482" w:firstLineChars="200"/>
        <w:jc w:val="both"/>
        <w:textAlignment w:val="baseline"/>
        <w:rPr>
          <w:rStyle w:val="17"/>
          <w:rFonts w:cs="Times New Roman"/>
          <w:b/>
          <w:bCs/>
          <w:kern w:val="2"/>
          <w:sz w:val="24"/>
          <w:szCs w:val="24"/>
          <w:lang w:val="en-US" w:eastAsia="zh-CN" w:bidi="ar-SA"/>
        </w:rPr>
      </w:pPr>
      <w:r>
        <w:rPr>
          <w:rStyle w:val="17"/>
          <w:rFonts w:cs="Times New Roman"/>
          <w:b/>
          <w:bCs/>
          <w:kern w:val="2"/>
          <w:sz w:val="24"/>
          <w:szCs w:val="24"/>
          <w:lang w:val="en-US" w:eastAsia="zh-CN" w:bidi="ar-SA"/>
        </w:rPr>
        <w:t>二、专业分流组织工作</w:t>
      </w:r>
    </w:p>
    <w:p>
      <w:pPr>
        <w:spacing w:line="360" w:lineRule="auto"/>
        <w:ind w:firstLine="480" w:firstLineChars="200"/>
        <w:jc w:val="both"/>
        <w:textAlignment w:val="baseline"/>
        <w:rPr>
          <w:rStyle w:val="17"/>
          <w:rFonts w:eastAsia="宋体"/>
          <w:kern w:val="2"/>
          <w:sz w:val="24"/>
          <w:szCs w:val="24"/>
          <w:lang w:val="en-US" w:eastAsia="zh-CN" w:bidi="ar-SA"/>
        </w:rPr>
      </w:pPr>
      <w:r>
        <w:rPr>
          <w:rStyle w:val="17"/>
          <w:kern w:val="2"/>
          <w:sz w:val="24"/>
          <w:szCs w:val="24"/>
          <w:lang w:val="en-US" w:eastAsia="zh-CN" w:bidi="ar-SA"/>
        </w:rPr>
        <w:t>1.学院</w:t>
      </w:r>
      <w:r>
        <w:rPr>
          <w:rStyle w:val="17"/>
          <w:rFonts w:hint="eastAsia"/>
          <w:kern w:val="2"/>
          <w:sz w:val="24"/>
          <w:szCs w:val="24"/>
          <w:lang w:val="en-US" w:eastAsia="zh-CN" w:bidi="ar-SA"/>
        </w:rPr>
        <w:t>成</w:t>
      </w:r>
      <w:r>
        <w:rPr>
          <w:rStyle w:val="17"/>
          <w:kern w:val="2"/>
          <w:sz w:val="24"/>
          <w:szCs w:val="24"/>
          <w:lang w:val="en-US" w:eastAsia="zh-CN" w:bidi="ar-SA"/>
        </w:rPr>
        <w:t>立本科生专业分流工作领导小组，负责工作方案制定、工作组织和监督，同时受理学生申诉、解决出现的问题，学院专业分流工作领导小组由院长任组长，其他学院领导以及学工组、教务和系负责人任成员。</w:t>
      </w:r>
    </w:p>
    <w:p>
      <w:pPr>
        <w:spacing w:line="360" w:lineRule="auto"/>
        <w:ind w:firstLine="480" w:firstLineChars="200"/>
        <w:jc w:val="both"/>
        <w:textAlignment w:val="baseline"/>
        <w:rPr>
          <w:rStyle w:val="17"/>
          <w:kern w:val="2"/>
          <w:sz w:val="24"/>
          <w:szCs w:val="24"/>
          <w:lang w:val="en-US" w:eastAsia="zh-CN" w:bidi="ar-SA"/>
        </w:rPr>
      </w:pPr>
      <w:r>
        <w:rPr>
          <w:rStyle w:val="17"/>
          <w:kern w:val="2"/>
          <w:sz w:val="24"/>
          <w:szCs w:val="24"/>
          <w:lang w:val="en-US" w:eastAsia="zh-CN" w:bidi="ar-SA"/>
        </w:rPr>
        <w:t>2.学院</w:t>
      </w:r>
      <w:r>
        <w:rPr>
          <w:rStyle w:val="17"/>
          <w:rFonts w:hint="eastAsia"/>
          <w:kern w:val="2"/>
          <w:sz w:val="24"/>
          <w:szCs w:val="24"/>
          <w:lang w:val="en-US" w:eastAsia="zh-CN" w:bidi="ar-SA"/>
        </w:rPr>
        <w:t>成</w:t>
      </w:r>
      <w:r>
        <w:rPr>
          <w:rStyle w:val="17"/>
          <w:kern w:val="2"/>
          <w:sz w:val="24"/>
          <w:szCs w:val="24"/>
          <w:lang w:val="en-US" w:eastAsia="zh-CN" w:bidi="ar-SA"/>
        </w:rPr>
        <w:t>立专业分流工作小组，在领导小组的领导下，负责专业分流工作的具体实施，工作小组由主管教学副院长和主管学生工作副书记任组长，学生工作人员、教学秘书、系负责人任成员。</w:t>
      </w:r>
    </w:p>
    <w:p>
      <w:pPr>
        <w:spacing w:line="360" w:lineRule="auto"/>
        <w:ind w:firstLine="480" w:firstLineChars="200"/>
        <w:jc w:val="both"/>
        <w:textAlignment w:val="baseline"/>
        <w:rPr>
          <w:rStyle w:val="17"/>
          <w:rFonts w:eastAsia="宋体"/>
          <w:kern w:val="2"/>
          <w:sz w:val="24"/>
          <w:szCs w:val="24"/>
          <w:lang w:val="en-US" w:eastAsia="zh-CN" w:bidi="ar-SA"/>
        </w:rPr>
      </w:pPr>
      <w:r>
        <w:rPr>
          <w:rStyle w:val="17"/>
          <w:kern w:val="2"/>
          <w:sz w:val="24"/>
          <w:szCs w:val="24"/>
          <w:lang w:val="en-US" w:eastAsia="zh-CN" w:bidi="ar-SA"/>
        </w:rPr>
        <w:t>3.学院</w:t>
      </w:r>
      <w:r>
        <w:rPr>
          <w:rStyle w:val="17"/>
          <w:rFonts w:hint="eastAsia"/>
          <w:kern w:val="2"/>
          <w:sz w:val="24"/>
          <w:szCs w:val="24"/>
          <w:lang w:val="en-US" w:eastAsia="zh-CN" w:bidi="ar-SA"/>
        </w:rPr>
        <w:t>成</w:t>
      </w:r>
      <w:r>
        <w:rPr>
          <w:rStyle w:val="17"/>
          <w:kern w:val="2"/>
          <w:sz w:val="24"/>
          <w:szCs w:val="24"/>
          <w:lang w:val="en-US" w:eastAsia="zh-CN" w:bidi="ar-SA"/>
        </w:rPr>
        <w:t>立专业分流咨询小组，负责提供与专业分流相关的资料信息以及相关问题的咨询解答，专业分流咨询小组由系负责人担任组长，</w:t>
      </w:r>
      <w:r>
        <w:rPr>
          <w:rStyle w:val="17"/>
          <w:rFonts w:hint="eastAsia"/>
          <w:kern w:val="2"/>
          <w:sz w:val="24"/>
          <w:szCs w:val="24"/>
          <w:lang w:val="en-US" w:eastAsia="zh-CN" w:bidi="ar-SA"/>
        </w:rPr>
        <w:t>辅导员和</w:t>
      </w:r>
      <w:r>
        <w:rPr>
          <w:rStyle w:val="17"/>
          <w:kern w:val="2"/>
          <w:sz w:val="24"/>
          <w:szCs w:val="24"/>
          <w:lang w:val="en-US" w:eastAsia="zh-CN" w:bidi="ar-SA"/>
        </w:rPr>
        <w:t>系内老师为成员。</w:t>
      </w:r>
    </w:p>
    <w:p>
      <w:pPr>
        <w:spacing w:line="360" w:lineRule="auto"/>
        <w:ind w:firstLine="482" w:firstLineChars="200"/>
        <w:jc w:val="both"/>
        <w:textAlignment w:val="baseline"/>
        <w:rPr>
          <w:rStyle w:val="17"/>
          <w:rFonts w:cs="Times New Roman"/>
          <w:b/>
          <w:bCs/>
          <w:kern w:val="2"/>
          <w:sz w:val="24"/>
          <w:szCs w:val="24"/>
          <w:lang w:val="en-US" w:eastAsia="zh-CN" w:bidi="ar-SA"/>
        </w:rPr>
      </w:pPr>
      <w:r>
        <w:rPr>
          <w:rStyle w:val="17"/>
          <w:rFonts w:cs="Times New Roman"/>
          <w:b/>
          <w:bCs/>
          <w:kern w:val="2"/>
          <w:sz w:val="24"/>
          <w:szCs w:val="24"/>
          <w:lang w:val="en-US" w:eastAsia="zh-CN" w:bidi="ar-SA"/>
        </w:rPr>
        <w:t>三、专业分流依据</w:t>
      </w:r>
    </w:p>
    <w:p>
      <w:pPr>
        <w:spacing w:line="360" w:lineRule="auto"/>
        <w:ind w:firstLine="480" w:firstLineChars="200"/>
        <w:jc w:val="both"/>
        <w:textAlignment w:val="baseline"/>
        <w:rPr>
          <w:rStyle w:val="17"/>
          <w:kern w:val="2"/>
          <w:sz w:val="24"/>
          <w:szCs w:val="24"/>
          <w:lang w:val="en-US" w:eastAsia="zh-CN" w:bidi="ar-SA"/>
        </w:rPr>
      </w:pPr>
      <w:r>
        <w:rPr>
          <w:rStyle w:val="17"/>
          <w:kern w:val="2"/>
          <w:sz w:val="24"/>
          <w:szCs w:val="24"/>
          <w:lang w:val="en-US" w:eastAsia="zh-CN" w:bidi="ar-SA"/>
        </w:rPr>
        <w:t>1.学生所报志愿。</w:t>
      </w:r>
    </w:p>
    <w:p>
      <w:pPr>
        <w:spacing w:line="360" w:lineRule="auto"/>
        <w:ind w:firstLine="480" w:firstLineChars="200"/>
        <w:jc w:val="both"/>
        <w:textAlignment w:val="baseline"/>
        <w:rPr>
          <w:rStyle w:val="17"/>
          <w:kern w:val="2"/>
          <w:sz w:val="24"/>
          <w:szCs w:val="24"/>
          <w:lang w:val="en-US" w:eastAsia="zh-CN" w:bidi="ar-SA"/>
        </w:rPr>
      </w:pPr>
      <w:r>
        <w:rPr>
          <w:rStyle w:val="17"/>
          <w:kern w:val="2"/>
          <w:sz w:val="24"/>
          <w:szCs w:val="24"/>
          <w:lang w:val="en-US" w:eastAsia="zh-CN" w:bidi="ar-SA"/>
        </w:rPr>
        <w:t>2.最低班人数规定。一个班最低人数为15人</w:t>
      </w:r>
      <w:r>
        <w:rPr>
          <w:rStyle w:val="17"/>
          <w:rFonts w:hint="eastAsia"/>
          <w:kern w:val="2"/>
          <w:sz w:val="24"/>
          <w:szCs w:val="24"/>
          <w:lang w:val="en-US" w:eastAsia="zh-CN" w:bidi="ar-SA"/>
        </w:rPr>
        <w:t>。</w:t>
      </w:r>
    </w:p>
    <w:p>
      <w:pPr>
        <w:spacing w:line="360" w:lineRule="auto"/>
        <w:ind w:firstLine="482" w:firstLineChars="200"/>
        <w:jc w:val="both"/>
        <w:textAlignment w:val="baseline"/>
        <w:rPr>
          <w:rStyle w:val="17"/>
          <w:rFonts w:cs="Times New Roman"/>
          <w:b/>
          <w:bCs/>
          <w:kern w:val="2"/>
          <w:sz w:val="24"/>
          <w:szCs w:val="24"/>
          <w:lang w:val="en-US" w:eastAsia="zh-CN" w:bidi="ar-SA"/>
        </w:rPr>
      </w:pPr>
      <w:r>
        <w:rPr>
          <w:rStyle w:val="17"/>
          <w:rFonts w:cs="Times New Roman"/>
          <w:b/>
          <w:bCs/>
          <w:kern w:val="2"/>
          <w:sz w:val="24"/>
          <w:szCs w:val="24"/>
          <w:lang w:val="en-US" w:eastAsia="zh-CN" w:bidi="ar-SA"/>
        </w:rPr>
        <w:t>四、专业分流的时间和具体步骤</w:t>
      </w:r>
    </w:p>
    <w:p>
      <w:pPr>
        <w:spacing w:line="360" w:lineRule="auto"/>
        <w:ind w:firstLine="480" w:firstLineChars="200"/>
        <w:jc w:val="both"/>
        <w:textAlignment w:val="baseline"/>
        <w:rPr>
          <w:rStyle w:val="17"/>
          <w:kern w:val="2"/>
          <w:sz w:val="24"/>
          <w:szCs w:val="24"/>
          <w:lang w:val="en-US" w:eastAsia="zh-CN" w:bidi="ar-SA"/>
        </w:rPr>
      </w:pPr>
      <w:r>
        <w:rPr>
          <w:rStyle w:val="17"/>
          <w:kern w:val="2"/>
          <w:sz w:val="24"/>
          <w:szCs w:val="24"/>
          <w:lang w:val="en-US" w:eastAsia="zh-CN" w:bidi="ar-SA"/>
        </w:rPr>
        <w:t>1.专业分流的时间：一年级第二学期。</w:t>
      </w:r>
    </w:p>
    <w:p>
      <w:pPr>
        <w:spacing w:line="360" w:lineRule="auto"/>
        <w:ind w:firstLine="480" w:firstLineChars="200"/>
        <w:jc w:val="both"/>
        <w:textAlignment w:val="baseline"/>
        <w:rPr>
          <w:rStyle w:val="17"/>
          <w:kern w:val="2"/>
          <w:sz w:val="24"/>
          <w:szCs w:val="24"/>
          <w:lang w:val="en-US" w:eastAsia="zh-CN" w:bidi="ar-SA"/>
        </w:rPr>
      </w:pPr>
      <w:r>
        <w:rPr>
          <w:rStyle w:val="17"/>
          <w:kern w:val="2"/>
          <w:sz w:val="24"/>
          <w:szCs w:val="24"/>
          <w:lang w:val="en-US" w:eastAsia="zh-CN" w:bidi="ar-SA"/>
        </w:rPr>
        <w:t>2.专业分流的具体步骤：</w:t>
      </w:r>
    </w:p>
    <w:p>
      <w:pPr>
        <w:spacing w:line="360" w:lineRule="auto"/>
        <w:ind w:firstLine="480" w:firstLineChars="200"/>
        <w:jc w:val="both"/>
        <w:textAlignment w:val="baseline"/>
        <w:rPr>
          <w:rStyle w:val="17"/>
          <w:kern w:val="2"/>
          <w:sz w:val="24"/>
          <w:szCs w:val="24"/>
          <w:lang w:val="en-US" w:eastAsia="zh-CN" w:bidi="ar-SA"/>
        </w:rPr>
      </w:pPr>
      <w:r>
        <w:rPr>
          <w:rStyle w:val="17"/>
          <w:kern w:val="2"/>
          <w:sz w:val="24"/>
          <w:szCs w:val="24"/>
          <w:lang w:val="en-US" w:eastAsia="zh-CN" w:bidi="ar-SA"/>
        </w:rPr>
        <w:t>（1）专业咨询安排。由学院教学</w:t>
      </w:r>
      <w:r>
        <w:rPr>
          <w:rStyle w:val="17"/>
          <w:rFonts w:hint="eastAsia"/>
          <w:kern w:val="2"/>
          <w:sz w:val="24"/>
          <w:szCs w:val="24"/>
          <w:lang w:val="en-US" w:eastAsia="zh-CN" w:bidi="ar-SA"/>
        </w:rPr>
        <w:t>办公室和</w:t>
      </w:r>
      <w:r>
        <w:rPr>
          <w:rStyle w:val="17"/>
          <w:kern w:val="2"/>
          <w:sz w:val="24"/>
          <w:szCs w:val="24"/>
          <w:lang w:val="en-US" w:eastAsia="zh-CN" w:bidi="ar-SA"/>
        </w:rPr>
        <w:t>各专业所在系提供与本专业相关的专业信息，</w:t>
      </w:r>
      <w:r>
        <w:rPr>
          <w:rStyle w:val="17"/>
          <w:rFonts w:hint="eastAsia"/>
          <w:kern w:val="2"/>
          <w:sz w:val="24"/>
          <w:szCs w:val="24"/>
          <w:lang w:val="en-US" w:eastAsia="zh-CN" w:bidi="ar-SA"/>
        </w:rPr>
        <w:t>组织开展相关</w:t>
      </w:r>
      <w:r>
        <w:rPr>
          <w:rStyle w:val="17"/>
          <w:kern w:val="2"/>
          <w:sz w:val="24"/>
          <w:szCs w:val="24"/>
          <w:lang w:val="en-US" w:eastAsia="zh-CN" w:bidi="ar-SA"/>
        </w:rPr>
        <w:t>咨询事宜</w:t>
      </w:r>
      <w:r>
        <w:rPr>
          <w:rStyle w:val="17"/>
          <w:rFonts w:hint="eastAsia"/>
          <w:kern w:val="2"/>
          <w:sz w:val="24"/>
          <w:szCs w:val="24"/>
          <w:lang w:val="en-US" w:eastAsia="zh-CN" w:bidi="ar-SA"/>
        </w:rPr>
        <w:t>。</w:t>
      </w:r>
    </w:p>
    <w:p>
      <w:pPr>
        <w:spacing w:line="360" w:lineRule="auto"/>
        <w:ind w:firstLine="480" w:firstLineChars="200"/>
        <w:jc w:val="both"/>
        <w:textAlignment w:val="baseline"/>
        <w:rPr>
          <w:rStyle w:val="17"/>
          <w:kern w:val="2"/>
          <w:sz w:val="24"/>
          <w:szCs w:val="24"/>
          <w:lang w:val="en-US" w:eastAsia="zh-CN" w:bidi="ar-SA"/>
        </w:rPr>
      </w:pPr>
      <w:r>
        <w:rPr>
          <w:rStyle w:val="17"/>
          <w:kern w:val="2"/>
          <w:sz w:val="24"/>
          <w:szCs w:val="24"/>
          <w:lang w:val="en-US" w:eastAsia="zh-CN" w:bidi="ar-SA"/>
        </w:rPr>
        <w:t>（2）专业分流方案。自由申报，不设最低班数要求。</w:t>
      </w:r>
    </w:p>
    <w:p>
      <w:pPr>
        <w:spacing w:line="360" w:lineRule="auto"/>
        <w:ind w:firstLine="480" w:firstLineChars="200"/>
        <w:jc w:val="both"/>
        <w:textAlignment w:val="baseline"/>
        <w:rPr>
          <w:rStyle w:val="17"/>
          <w:kern w:val="2"/>
          <w:sz w:val="24"/>
          <w:szCs w:val="24"/>
          <w:lang w:val="en-US" w:eastAsia="zh-CN" w:bidi="ar-SA"/>
        </w:rPr>
      </w:pPr>
      <w:r>
        <w:rPr>
          <w:rStyle w:val="17"/>
          <w:kern w:val="2"/>
          <w:sz w:val="24"/>
          <w:szCs w:val="24"/>
          <w:lang w:val="en-US" w:eastAsia="zh-CN" w:bidi="ar-SA"/>
        </w:rPr>
        <w:t>（3）学生选择专业。</w:t>
      </w:r>
      <w:r>
        <w:rPr>
          <w:rStyle w:val="17"/>
          <w:rFonts w:hint="eastAsia"/>
          <w:kern w:val="2"/>
          <w:sz w:val="24"/>
          <w:szCs w:val="24"/>
          <w:lang w:val="en-US" w:eastAsia="zh-CN" w:bidi="ar-SA"/>
        </w:rPr>
        <w:t>学生</w:t>
      </w:r>
      <w:r>
        <w:rPr>
          <w:rStyle w:val="17"/>
          <w:kern w:val="2"/>
          <w:sz w:val="24"/>
          <w:szCs w:val="24"/>
          <w:lang w:val="en-US" w:eastAsia="zh-CN" w:bidi="ar-SA"/>
        </w:rPr>
        <w:t>填报一个志愿</w:t>
      </w:r>
      <w:r>
        <w:rPr>
          <w:rStyle w:val="17"/>
          <w:rFonts w:hint="eastAsia"/>
          <w:kern w:val="2"/>
          <w:sz w:val="24"/>
          <w:szCs w:val="24"/>
          <w:lang w:val="en-US" w:eastAsia="zh-CN" w:bidi="ar-SA"/>
        </w:rPr>
        <w:t>专业。</w:t>
      </w:r>
      <w:r>
        <w:rPr>
          <w:rStyle w:val="17"/>
          <w:kern w:val="2"/>
          <w:sz w:val="24"/>
          <w:szCs w:val="24"/>
          <w:lang w:val="en-US" w:eastAsia="zh-CN" w:bidi="ar-SA"/>
        </w:rPr>
        <w:t>如果选择某一个专业的人数低于15人的，选择此专业的学生必须服从学院调配，并入另外一个专业。</w:t>
      </w:r>
    </w:p>
    <w:p>
      <w:pPr>
        <w:spacing w:line="360" w:lineRule="auto"/>
        <w:ind w:firstLine="480" w:firstLineChars="200"/>
        <w:jc w:val="both"/>
        <w:textAlignment w:val="baseline"/>
        <w:rPr>
          <w:rStyle w:val="17"/>
          <w:kern w:val="2"/>
          <w:sz w:val="24"/>
          <w:szCs w:val="24"/>
          <w:lang w:val="en-US" w:eastAsia="zh-CN" w:bidi="ar-SA"/>
        </w:rPr>
      </w:pPr>
      <w:r>
        <w:rPr>
          <w:rStyle w:val="17"/>
          <w:kern w:val="2"/>
          <w:sz w:val="24"/>
          <w:szCs w:val="24"/>
          <w:lang w:val="en-US" w:eastAsia="zh-CN" w:bidi="ar-SA"/>
        </w:rPr>
        <w:t>（4）专业分流结果公示三天</w:t>
      </w:r>
      <w:r>
        <w:rPr>
          <w:rStyle w:val="17"/>
          <w:rFonts w:hint="eastAsia"/>
          <w:kern w:val="2"/>
          <w:sz w:val="24"/>
          <w:szCs w:val="24"/>
          <w:lang w:val="en-US" w:eastAsia="zh-CN" w:bidi="ar-SA"/>
        </w:rPr>
        <w:t>。</w:t>
      </w:r>
    </w:p>
    <w:p>
      <w:pPr>
        <w:spacing w:line="360" w:lineRule="auto"/>
        <w:ind w:firstLine="480" w:firstLineChars="200"/>
        <w:jc w:val="both"/>
        <w:textAlignment w:val="baseline"/>
        <w:rPr>
          <w:rStyle w:val="17"/>
          <w:kern w:val="2"/>
          <w:sz w:val="24"/>
          <w:szCs w:val="24"/>
          <w:lang w:val="en-US" w:eastAsia="zh-CN" w:bidi="ar-SA"/>
        </w:rPr>
      </w:pPr>
      <w:r>
        <w:rPr>
          <w:rStyle w:val="17"/>
          <w:kern w:val="2"/>
          <w:sz w:val="24"/>
          <w:szCs w:val="24"/>
          <w:lang w:val="en-US" w:eastAsia="zh-CN" w:bidi="ar-SA"/>
        </w:rPr>
        <w:t>（5）专业分流结果上报本科生院备案。</w:t>
      </w:r>
    </w:p>
    <w:p>
      <w:pPr>
        <w:spacing w:line="360" w:lineRule="auto"/>
        <w:ind w:firstLine="482" w:firstLineChars="200"/>
        <w:jc w:val="both"/>
        <w:textAlignment w:val="baseline"/>
        <w:rPr>
          <w:rStyle w:val="17"/>
          <w:rFonts w:cs="Times New Roman"/>
          <w:b/>
          <w:bCs/>
          <w:kern w:val="2"/>
          <w:sz w:val="24"/>
          <w:szCs w:val="24"/>
          <w:lang w:val="en-US" w:eastAsia="zh-CN" w:bidi="ar-SA"/>
        </w:rPr>
      </w:pPr>
      <w:r>
        <w:rPr>
          <w:rStyle w:val="17"/>
          <w:rFonts w:cs="Times New Roman"/>
          <w:b/>
          <w:bCs/>
          <w:kern w:val="2"/>
          <w:sz w:val="24"/>
          <w:szCs w:val="24"/>
          <w:lang w:val="en-US" w:eastAsia="zh-CN" w:bidi="ar-SA"/>
        </w:rPr>
        <w:t>五、申诉和受理</w:t>
      </w:r>
    </w:p>
    <w:p>
      <w:pPr>
        <w:spacing w:line="360" w:lineRule="auto"/>
        <w:ind w:left="567" w:leftChars="0"/>
        <w:jc w:val="both"/>
        <w:textAlignment w:val="baseline"/>
        <w:rPr>
          <w:rStyle w:val="17"/>
          <w:kern w:val="2"/>
          <w:sz w:val="24"/>
          <w:szCs w:val="24"/>
          <w:lang w:val="en-US" w:eastAsia="zh-CN" w:bidi="ar-SA"/>
        </w:rPr>
      </w:pPr>
      <w:r>
        <w:rPr>
          <w:rStyle w:val="17"/>
          <w:kern w:val="2"/>
          <w:sz w:val="24"/>
          <w:szCs w:val="24"/>
          <w:lang w:val="en-US" w:eastAsia="zh-CN" w:bidi="ar-SA"/>
        </w:rPr>
        <w:t>1.学生对专业分流结果有异议的，可采用纸面或口头形式向工作小组提出申诉，由工作小组上报领导小组处理。</w:t>
      </w:r>
    </w:p>
    <w:p>
      <w:pPr>
        <w:spacing w:line="360" w:lineRule="auto"/>
        <w:ind w:left="567" w:leftChars="0"/>
        <w:jc w:val="both"/>
        <w:textAlignment w:val="baseline"/>
        <w:rPr>
          <w:rStyle w:val="17"/>
          <w:kern w:val="2"/>
          <w:sz w:val="24"/>
          <w:szCs w:val="24"/>
          <w:lang w:val="en-US" w:eastAsia="zh-CN" w:bidi="ar-SA"/>
        </w:rPr>
      </w:pPr>
      <w:r>
        <w:rPr>
          <w:rStyle w:val="17"/>
          <w:kern w:val="2"/>
          <w:sz w:val="24"/>
          <w:szCs w:val="24"/>
          <w:lang w:val="en-US" w:eastAsia="zh-CN" w:bidi="ar-SA"/>
        </w:rPr>
        <w:t>2.领导小组接到申诉后，应及时处理，并将处理结果反馈申诉学生。</w:t>
      </w:r>
      <w:bookmarkStart w:id="0" w:name="_GoBack"/>
      <w:bookmarkEnd w:id="0"/>
    </w:p>
    <w:p>
      <w:pPr>
        <w:spacing w:line="360" w:lineRule="auto"/>
        <w:ind w:left="567" w:leftChars="0"/>
        <w:jc w:val="both"/>
        <w:textAlignment w:val="baseline"/>
        <w:rPr>
          <w:rStyle w:val="17"/>
          <w:rFonts w:cs="Times New Roman"/>
          <w:b/>
          <w:bCs/>
          <w:kern w:val="2"/>
          <w:sz w:val="24"/>
          <w:szCs w:val="24"/>
          <w:lang w:val="en-US" w:eastAsia="zh-CN" w:bidi="ar-SA"/>
        </w:rPr>
      </w:pPr>
      <w:r>
        <w:rPr>
          <w:rStyle w:val="17"/>
          <w:rFonts w:cs="Times New Roman"/>
          <w:b/>
          <w:bCs/>
          <w:kern w:val="2"/>
          <w:sz w:val="24"/>
          <w:szCs w:val="24"/>
          <w:lang w:val="en-US" w:eastAsia="zh-CN" w:bidi="ar-SA"/>
        </w:rPr>
        <w:t>六、其他</w:t>
      </w:r>
    </w:p>
    <w:p>
      <w:pPr>
        <w:spacing w:line="360" w:lineRule="auto"/>
        <w:ind w:left="567" w:leftChars="0"/>
        <w:jc w:val="both"/>
        <w:textAlignment w:val="baseline"/>
        <w:rPr>
          <w:rStyle w:val="17"/>
          <w:rFonts w:eastAsia="宋体"/>
          <w:kern w:val="2"/>
          <w:sz w:val="24"/>
          <w:szCs w:val="24"/>
          <w:lang w:val="en-US" w:eastAsia="zh-CN" w:bidi="ar-SA"/>
        </w:rPr>
      </w:pPr>
      <w:r>
        <w:rPr>
          <w:rStyle w:val="17"/>
          <w:kern w:val="2"/>
          <w:sz w:val="24"/>
          <w:szCs w:val="24"/>
          <w:lang w:val="en-US" w:eastAsia="zh-CN" w:bidi="ar-SA"/>
        </w:rPr>
        <w:t>此办法从公共管理类2019级开始执行。</w:t>
      </w:r>
    </w:p>
    <w:p>
      <w:pPr>
        <w:spacing w:line="360" w:lineRule="auto"/>
        <w:ind w:firstLine="840"/>
        <w:jc w:val="both"/>
        <w:textAlignment w:val="baseline"/>
        <w:rPr>
          <w:rStyle w:val="17"/>
          <w:kern w:val="2"/>
          <w:sz w:val="24"/>
          <w:szCs w:val="24"/>
          <w:lang w:val="en-US" w:eastAsia="zh-CN" w:bidi="ar-SA"/>
        </w:rPr>
      </w:pPr>
    </w:p>
    <w:p>
      <w:pPr>
        <w:spacing w:line="360" w:lineRule="auto"/>
        <w:ind w:firstLine="840"/>
        <w:jc w:val="both"/>
        <w:textAlignment w:val="baseline"/>
        <w:rPr>
          <w:rStyle w:val="17"/>
          <w:kern w:val="2"/>
          <w:sz w:val="24"/>
          <w:szCs w:val="24"/>
          <w:lang w:val="en-US" w:eastAsia="zh-CN" w:bidi="ar-SA"/>
        </w:rPr>
      </w:pPr>
    </w:p>
    <w:p>
      <w:pPr>
        <w:spacing w:line="360" w:lineRule="auto"/>
        <w:ind w:firstLine="840"/>
        <w:jc w:val="both"/>
        <w:textAlignment w:val="baseline"/>
        <w:rPr>
          <w:rStyle w:val="17"/>
          <w:kern w:val="2"/>
          <w:sz w:val="24"/>
          <w:szCs w:val="24"/>
          <w:lang w:val="en-US" w:eastAsia="zh-CN" w:bidi="ar-SA"/>
        </w:rPr>
      </w:pPr>
    </w:p>
    <w:p>
      <w:pPr>
        <w:spacing w:line="360" w:lineRule="auto"/>
        <w:ind w:firstLine="840"/>
        <w:jc w:val="right"/>
        <w:textAlignment w:val="baseline"/>
        <w:rPr>
          <w:rStyle w:val="17"/>
          <w:kern w:val="2"/>
          <w:sz w:val="24"/>
          <w:szCs w:val="24"/>
          <w:lang w:val="en-US" w:eastAsia="zh-CN" w:bidi="ar-SA"/>
        </w:rPr>
      </w:pPr>
      <w:r>
        <w:rPr>
          <w:rStyle w:val="17"/>
          <w:kern w:val="2"/>
          <w:sz w:val="24"/>
          <w:szCs w:val="24"/>
          <w:lang w:val="en-US" w:eastAsia="zh-CN" w:bidi="ar-SA"/>
        </w:rPr>
        <w:t xml:space="preserve">                                               人文与法律学院</w:t>
      </w:r>
    </w:p>
    <w:p>
      <w:pPr>
        <w:spacing w:line="360" w:lineRule="auto"/>
        <w:ind w:firstLine="840"/>
        <w:jc w:val="right"/>
        <w:textAlignment w:val="baseline"/>
        <w:rPr>
          <w:rStyle w:val="17"/>
          <w:kern w:val="2"/>
          <w:sz w:val="24"/>
          <w:szCs w:val="24"/>
          <w:lang w:val="en-US" w:eastAsia="zh-CN" w:bidi="ar-SA"/>
        </w:rPr>
      </w:pPr>
      <w:r>
        <w:rPr>
          <w:rStyle w:val="17"/>
          <w:kern w:val="2"/>
          <w:sz w:val="24"/>
          <w:szCs w:val="24"/>
          <w:lang w:val="en-US" w:eastAsia="zh-CN" w:bidi="ar-SA"/>
        </w:rPr>
        <w:t xml:space="preserve">                                               2020年5月18日</w:t>
      </w:r>
    </w:p>
    <w:p>
      <w:pPr>
        <w:jc w:val="center"/>
        <w:rPr>
          <w:rFonts w:ascii="Times New Roman" w:hAnsi="Times New Roman" w:cs="Times New Roman"/>
        </w:rPr>
      </w:pPr>
    </w:p>
    <w:sectPr>
      <w:footerReference r:id="rId3" w:type="default"/>
      <w:pgSz w:w="11906" w:h="16838"/>
      <w:pgMar w:top="1440" w:right="1416" w:bottom="1440" w:left="1800" w:header="851" w:footer="665"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38088953"/>
      <w:docPartObj>
        <w:docPartGallery w:val="AutoText"/>
      </w:docPartObj>
    </w:sdtPr>
    <w:sdtContent>
      <w:p>
        <w:pPr>
          <w:pStyle w:val="4"/>
          <w:jc w:val="right"/>
        </w:pPr>
        <w:r>
          <w:fldChar w:fldCharType="begin"/>
        </w:r>
        <w:r>
          <w:instrText xml:space="preserve">PAGE   \* MERGEFORMAT</w:instrText>
        </w:r>
        <w:r>
          <w:fldChar w:fldCharType="separate"/>
        </w:r>
        <w:r>
          <w:rPr>
            <w:lang w:val="zh-CN"/>
          </w:rPr>
          <w:t>16</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CF0"/>
    <w:rsid w:val="00010C40"/>
    <w:rsid w:val="000A3B5E"/>
    <w:rsid w:val="001226E8"/>
    <w:rsid w:val="00197995"/>
    <w:rsid w:val="001E7D83"/>
    <w:rsid w:val="00267D31"/>
    <w:rsid w:val="003402E5"/>
    <w:rsid w:val="00360697"/>
    <w:rsid w:val="0047767C"/>
    <w:rsid w:val="00556515"/>
    <w:rsid w:val="005C301B"/>
    <w:rsid w:val="005E2897"/>
    <w:rsid w:val="00606E33"/>
    <w:rsid w:val="00640CF0"/>
    <w:rsid w:val="006F53A2"/>
    <w:rsid w:val="00807AA0"/>
    <w:rsid w:val="00813A92"/>
    <w:rsid w:val="00863D16"/>
    <w:rsid w:val="008E4EB0"/>
    <w:rsid w:val="009609DE"/>
    <w:rsid w:val="00BA2DFF"/>
    <w:rsid w:val="00C83C1D"/>
    <w:rsid w:val="00D75431"/>
    <w:rsid w:val="00ED074C"/>
    <w:rsid w:val="00FE5747"/>
    <w:rsid w:val="00FE6042"/>
    <w:rsid w:val="537D682A"/>
    <w:rsid w:val="659C6131"/>
    <w:rsid w:val="6A1040FE"/>
    <w:rsid w:val="6EFC3D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7"/>
    <w:qFormat/>
    <w:uiPriority w:val="0"/>
    <w:pPr>
      <w:widowControl w:val="0"/>
      <w:jc w:val="both"/>
    </w:pPr>
    <w:rPr>
      <w:rFonts w:asciiTheme="minorHAnsi" w:hAnsiTheme="minorHAnsi" w:eastAsiaTheme="minorEastAsia" w:cstheme="minorBidi"/>
      <w:kern w:val="2"/>
      <w:sz w:val="21"/>
      <w:szCs w:val="22"/>
      <w:lang w:val="de-DE"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9"/>
    <w:semiHidden/>
    <w:unhideWhenUsed/>
    <w:uiPriority w:val="99"/>
    <w:pPr>
      <w:ind w:left="100" w:leftChars="2500"/>
    </w:pPr>
  </w:style>
  <w:style w:type="paragraph" w:styleId="3">
    <w:name w:val="Balloon Text"/>
    <w:basedOn w:val="1"/>
    <w:link w:val="16"/>
    <w:semiHidden/>
    <w:unhideWhenUsed/>
    <w:qFormat/>
    <w:uiPriority w:val="99"/>
    <w:rPr>
      <w:sz w:val="18"/>
      <w:szCs w:val="18"/>
    </w:rPr>
  </w:style>
  <w:style w:type="paragraph" w:styleId="4">
    <w:name w:val="footer"/>
    <w:basedOn w:val="1"/>
    <w:link w:val="11"/>
    <w:unhideWhenUsed/>
    <w:uiPriority w:val="99"/>
    <w:pPr>
      <w:tabs>
        <w:tab w:val="center" w:pos="4153"/>
        <w:tab w:val="right" w:pos="8306"/>
      </w:tabs>
      <w:snapToGrid w:val="0"/>
      <w:jc w:val="left"/>
    </w:pPr>
    <w:rPr>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日期 Char"/>
    <w:basedOn w:val="8"/>
    <w:link w:val="2"/>
    <w:semiHidden/>
    <w:uiPriority w:val="99"/>
    <w:rPr>
      <w:lang w:val="de-DE"/>
    </w:rPr>
  </w:style>
  <w:style w:type="character" w:customStyle="1" w:styleId="10">
    <w:name w:val="页眉 Char"/>
    <w:basedOn w:val="8"/>
    <w:link w:val="5"/>
    <w:qFormat/>
    <w:uiPriority w:val="99"/>
    <w:rPr>
      <w:sz w:val="18"/>
      <w:szCs w:val="18"/>
      <w:lang w:val="de-DE"/>
    </w:rPr>
  </w:style>
  <w:style w:type="character" w:customStyle="1" w:styleId="11">
    <w:name w:val="页脚 Char"/>
    <w:basedOn w:val="8"/>
    <w:link w:val="4"/>
    <w:uiPriority w:val="99"/>
    <w:rPr>
      <w:sz w:val="18"/>
      <w:szCs w:val="18"/>
      <w:lang w:val="de-DE"/>
    </w:rPr>
  </w:style>
  <w:style w:type="table" w:customStyle="1" w:styleId="12">
    <w:name w:val="Plain Table 1"/>
    <w:basedOn w:val="6"/>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13">
    <w:name w:val="Grid Table 1 Light Accent 1"/>
    <w:basedOn w:val="6"/>
    <w:qFormat/>
    <w:uiPriority w:val="46"/>
    <w:tblPr>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2" w:space="0"/>
        </w:tcBorders>
      </w:tcPr>
    </w:tblStylePr>
    <w:tblStylePr w:type="firstCol">
      <w:rPr>
        <w:b/>
        <w:bCs/>
      </w:rPr>
    </w:tblStylePr>
    <w:tblStylePr w:type="lastCol">
      <w:rPr>
        <w:b/>
        <w:bCs/>
      </w:rPr>
    </w:tblStylePr>
  </w:style>
  <w:style w:type="table" w:customStyle="1" w:styleId="14">
    <w:name w:val="Plain Table 4"/>
    <w:basedOn w:val="6"/>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paragraph" w:styleId="15">
    <w:name w:val="List Paragraph"/>
    <w:basedOn w:val="1"/>
    <w:uiPriority w:val="99"/>
    <w:pPr>
      <w:ind w:firstLine="420" w:firstLineChars="200"/>
    </w:pPr>
    <w:rPr>
      <w:lang w:val="en-US"/>
    </w:rPr>
  </w:style>
  <w:style w:type="character" w:customStyle="1" w:styleId="16">
    <w:name w:val="批注框文本 Char"/>
    <w:basedOn w:val="8"/>
    <w:link w:val="3"/>
    <w:semiHidden/>
    <w:uiPriority w:val="99"/>
    <w:rPr>
      <w:sz w:val="18"/>
      <w:szCs w:val="18"/>
      <w:lang w:val="de-DE"/>
    </w:rPr>
  </w:style>
  <w:style w:type="character" w:customStyle="1" w:styleId="17">
    <w:name w:val="NormalCharacter"/>
    <w:link w:val="1"/>
    <w:semiHidden/>
    <w:uiPriority w:val="0"/>
    <w:rPr>
      <w:rFonts w:asciiTheme="minorHAnsi" w:hAnsiTheme="minorHAnsi" w:eastAsiaTheme="minorEastAsia" w:cstheme="minorBidi"/>
      <w:kern w:val="2"/>
      <w:sz w:val="21"/>
      <w:szCs w:val="22"/>
      <w:lang w:val="de-DE"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emf"/><Relationship Id="rId8" Type="http://schemas.openxmlformats.org/officeDocument/2006/relationships/image" Target="media/image4.emf"/><Relationship Id="rId7" Type="http://schemas.openxmlformats.org/officeDocument/2006/relationships/image" Target="media/image3.png"/><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1177</Words>
  <Characters>6711</Characters>
  <Lines>55</Lines>
  <Paragraphs>15</Paragraphs>
  <TotalTime>1</TotalTime>
  <ScaleCrop>false</ScaleCrop>
  <LinksUpToDate>false</LinksUpToDate>
  <CharactersWithSpaces>7873</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2020-05-18T02:42:00Z</dcterms:created>
  <dc:creator>MM Dr.SHEN</dc:creator>
  <cp:lastModifiedBy>PC</cp:lastModifiedBy>
  <cp:lastPrinted>2020-05-18T05:53:00Z</cp:lastPrinted>
  <dcterms:modified xsi:type="dcterms:W3CDTF">2020-05-19T08:48:07Z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