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30C91">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宋体" w:hAnsi="宋体" w:eastAsia="宋体" w:cs="宋体"/>
          <w:b/>
          <w:bCs/>
          <w:spacing w:val="-13"/>
          <w:sz w:val="46"/>
          <w:szCs w:val="46"/>
        </w:rPr>
      </w:pPr>
      <w:r>
        <w:rPr>
          <w:rFonts w:ascii="宋体" w:hAnsi="宋体" w:eastAsia="宋体" w:cs="宋体"/>
          <w:b/>
          <w:bCs/>
          <w:spacing w:val="-13"/>
          <w:sz w:val="46"/>
          <w:szCs w:val="46"/>
        </w:rPr>
        <w:t>关于开展2026年天津市高校</w:t>
      </w:r>
    </w:p>
    <w:p w14:paraId="24A9AC0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napToGrid/>
          <w:kern w:val="2"/>
          <w:sz w:val="44"/>
          <w:szCs w:val="52"/>
        </w:rPr>
      </w:pPr>
      <w:r>
        <w:rPr>
          <w:rFonts w:ascii="宋体" w:hAnsi="宋体" w:eastAsia="宋体" w:cs="宋体"/>
          <w:b/>
          <w:bCs/>
          <w:spacing w:val="-13"/>
          <w:sz w:val="46"/>
          <w:szCs w:val="46"/>
        </w:rPr>
        <w:t>研究生</w:t>
      </w:r>
      <w:r>
        <w:rPr>
          <w:rFonts w:ascii="宋体" w:hAnsi="宋体" w:eastAsia="宋体" w:cs="宋体"/>
          <w:b/>
          <w:bCs/>
          <w:spacing w:val="-25"/>
          <w:sz w:val="46"/>
          <w:szCs w:val="46"/>
        </w:rPr>
        <w:t>课程思政优秀课程认定工作的通知</w:t>
      </w:r>
    </w:p>
    <w:p w14:paraId="2328B150">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Times New Roman" w:hAnsi="Times New Roman" w:eastAsia="仿宋_GB2312"/>
          <w:color w:val="auto"/>
          <w:sz w:val="32"/>
          <w:szCs w:val="32"/>
        </w:rPr>
      </w:pPr>
    </w:p>
    <w:p w14:paraId="357EF833">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各</w:t>
      </w:r>
      <w:r>
        <w:rPr>
          <w:rFonts w:hint="eastAsia" w:ascii="Times New Roman" w:hAnsi="Times New Roman" w:eastAsia="仿宋_GB2312"/>
          <w:color w:val="auto"/>
          <w:sz w:val="32"/>
          <w:szCs w:val="32"/>
          <w:lang w:val="en-US" w:eastAsia="zh-CN"/>
        </w:rPr>
        <w:t>研究生单位、部门</w:t>
      </w:r>
      <w:r>
        <w:rPr>
          <w:rFonts w:hint="eastAsia" w:ascii="Times New Roman" w:hAnsi="Times New Roman" w:eastAsia="仿宋_GB2312"/>
          <w:color w:val="auto"/>
          <w:sz w:val="32"/>
          <w:szCs w:val="32"/>
        </w:rPr>
        <w:t>：</w:t>
      </w:r>
    </w:p>
    <w:p w14:paraId="09CC127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lang w:val="en-US" w:eastAsia="en-US"/>
        </w:rPr>
      </w:pPr>
      <w:r>
        <w:rPr>
          <w:rFonts w:hint="eastAsia" w:ascii="Times New Roman" w:hAnsi="Times New Roman" w:eastAsia="仿宋_GB2312"/>
          <w:color w:val="auto"/>
          <w:sz w:val="32"/>
          <w:szCs w:val="32"/>
        </w:rPr>
        <w:t>为深入贯彻落实党的二十大精神和习近平总书记关于研究生教育工作的重要指示，落实《关于加快新时代研究生教育改革发展的意见》《高等学校课程思政建设指导纲要》《中共中央宣传部教育部关于印发〈新时代学校思想政治理论课改革创新实施方案〉的通知》</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教材〔2020〕6号</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《市委教育工委市教委印发关于全面推进全市高等学校课程思政建设的若干举措的通知》</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津教党办〔2020〕67号</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等要求，推进科研育人与专业教育深度融合，充分发挥课堂教学主渠道作用，全面提升研究生思想政治工作质量，市教委决定开展2026年天津市高校研究生课程思政优秀课程建设与认定工作。</w:t>
      </w:r>
      <w:r>
        <w:rPr>
          <w:rFonts w:hint="eastAsia" w:ascii="Times New Roman" w:hAnsi="Times New Roman" w:eastAsia="仿宋_GB2312"/>
          <w:color w:val="auto"/>
          <w:sz w:val="32"/>
          <w:szCs w:val="32"/>
          <w:lang w:val="en-US" w:eastAsia="zh-CN"/>
        </w:rPr>
        <w:t>根</w:t>
      </w:r>
      <w:r>
        <w:rPr>
          <w:rFonts w:hint="eastAsia" w:ascii="Times New Roman" w:hAnsi="Times New Roman" w:eastAsia="仿宋_GB2312"/>
          <w:color w:val="auto"/>
          <w:sz w:val="32"/>
          <w:szCs w:val="32"/>
          <w:lang w:val="en-US" w:eastAsia="en-US"/>
        </w:rPr>
        <w:t>据</w:t>
      </w:r>
      <w:r>
        <w:rPr>
          <w:rFonts w:hint="eastAsia" w:ascii="Times New Roman" w:hAnsi="Times New Roman" w:eastAsia="仿宋_GB2312"/>
          <w:color w:val="auto"/>
          <w:sz w:val="32"/>
          <w:szCs w:val="32"/>
          <w:lang w:val="en-US" w:eastAsia="zh-CN"/>
        </w:rPr>
        <w:t>《</w:t>
      </w:r>
      <w:r>
        <w:rPr>
          <w:rFonts w:hint="eastAsia" w:ascii="Times New Roman" w:hAnsi="Times New Roman" w:eastAsia="仿宋_GB2312"/>
          <w:color w:val="auto"/>
          <w:sz w:val="32"/>
          <w:szCs w:val="32"/>
        </w:rPr>
        <w:t>市教委关于开展2026年天津市高校研究生课程思政优秀课程认定工作的通知</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（津教研函〔2026〕2号）具体</w:t>
      </w:r>
      <w:r>
        <w:rPr>
          <w:rFonts w:hint="eastAsia" w:ascii="Times New Roman" w:hAnsi="Times New Roman" w:eastAsia="仿宋_GB2312"/>
          <w:color w:val="auto"/>
          <w:sz w:val="32"/>
          <w:szCs w:val="32"/>
          <w:lang w:val="en-US" w:eastAsia="en-US"/>
        </w:rPr>
        <w:t>要求，结合我校实际，现将</w:t>
      </w:r>
      <w:r>
        <w:rPr>
          <w:rFonts w:hint="eastAsia" w:ascii="Times New Roman" w:hAnsi="Times New Roman" w:eastAsia="仿宋_GB2312"/>
          <w:color w:val="auto"/>
          <w:sz w:val="32"/>
          <w:szCs w:val="32"/>
          <w:lang w:val="en-US" w:eastAsia="zh-CN"/>
        </w:rPr>
        <w:t>认定</w:t>
      </w:r>
      <w:r>
        <w:rPr>
          <w:rFonts w:hint="eastAsia" w:ascii="Times New Roman" w:hAnsi="Times New Roman" w:eastAsia="仿宋_GB2312"/>
          <w:color w:val="auto"/>
          <w:sz w:val="32"/>
          <w:szCs w:val="32"/>
          <w:lang w:val="en-US" w:eastAsia="en-US"/>
        </w:rPr>
        <w:t>工作有关事项通知如下:</w:t>
      </w:r>
    </w:p>
    <w:p w14:paraId="128DE825">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Times New Roman" w:hAnsi="Times New Roman" w:eastAsia="仿宋_GB2312"/>
          <w:b/>
          <w:bCs/>
          <w:color w:val="auto"/>
          <w:sz w:val="32"/>
          <w:szCs w:val="32"/>
          <w:lang w:val="en-US" w:eastAsia="zh-CN"/>
        </w:rPr>
      </w:pPr>
      <w:r>
        <w:rPr>
          <w:rFonts w:hint="eastAsia" w:ascii="Times New Roman" w:hAnsi="Times New Roman" w:eastAsia="仿宋_GB2312"/>
          <w:b/>
          <w:bCs/>
          <w:color w:val="auto"/>
          <w:sz w:val="32"/>
          <w:szCs w:val="32"/>
        </w:rPr>
        <w:t>一、总体要求</w:t>
      </w:r>
    </w:p>
    <w:p w14:paraId="12C8CF9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坚持以习近平新时代中国特色社会主义思想为指导，牢记为党育人、为国育才使命，立足研究生教育特点，将价值塑造、知识传授与创新能力培养融为一体。充分落实立德树人根本任务，将科研诚信教育、科学精神培养、学术道德规范融入课程教学。</w:t>
      </w:r>
    </w:p>
    <w:p w14:paraId="1F08404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持续推进习近平新时代中国特色社会主义思想进教材进课堂进头脑</w:t>
      </w:r>
      <w:bookmarkStart w:id="0" w:name="_GoBack"/>
      <w:bookmarkEnd w:id="0"/>
      <w:r>
        <w:rPr>
          <w:rFonts w:hint="eastAsia" w:ascii="Times New Roman" w:hAnsi="Times New Roman" w:eastAsia="仿宋_GB2312"/>
          <w:color w:val="auto"/>
          <w:sz w:val="32"/>
          <w:szCs w:val="32"/>
        </w:rPr>
        <w:t>进灵魂，调动每一位任课教师参与课程思政教学改革的积极性，深挖每一门课程的思政元素，通过科学丰富的课程内容、形式灵活生动的教学方式，充分发挥各门课程在培育和践行社会主义核心价值观中的重要作用。通过课程思政优秀课程建设，打造一批彰显学科特色、突出科研育人、示范效应显著的研究生课程，构建具有天津特色的研究生课程思政体系，培养德才兼备的高层次创新人才。</w:t>
      </w:r>
    </w:p>
    <w:p w14:paraId="4C4C2B1C">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b/>
          <w:bCs/>
          <w:color w:val="auto"/>
          <w:sz w:val="32"/>
          <w:szCs w:val="32"/>
        </w:rPr>
        <w:t>二、建设目标</w:t>
      </w:r>
    </w:p>
    <w:p w14:paraId="0F2B887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遴选认定一批研究生课程思政优秀课程，充分发挥示范引领与辐射带动作用，全面推进研究生课程思政建设高质量发展，持续扩大示范影响力，引领高校将思想政治教育深度融入研究生教育教学全过程。</w:t>
      </w:r>
    </w:p>
    <w:p w14:paraId="5AEDFA6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研究生课程思政优秀课程要立足研究生教育规律和不同学科专业的特色优势，着力加强研究生思想道德修养、人文素养、学术规范和科研创新能力培养，强化理想信念教育、爱国主义教育、科学家精神教育、学术诚信教育和优秀传统文化教育。深入挖掘专业知识体系中所蕴含的思想价值和精神内涵，将马克思主义立场、观点、方法与科学精神培养有机结合起来，把社会主义核心价值观教育贯穿人才培养全过程。注重马克思主义中国化最新成果的应用，彰显习近平新时代中国特色社会主义思想精神内涵，培养学生探索未知、追求真理、勇攀科学高峰的责任感和使命感，激发学生科技报国、服务社会的爱国情怀，在知识传授和能力培养中强调主流价值引领，形成有高度、有深度、有温度，独具教育特色的研究生课程思政优秀课程。</w:t>
      </w:r>
    </w:p>
    <w:p w14:paraId="088EB1FF">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通过研究生课程思政优秀课程的选拔、建设和推广，构建具有天津特色的研究生课程思政建设新格局，全面提升研究生思想政治工作质量，增强学生爱国情怀、社会责任感、创新精神、实践能力，培养德才兼备的高层次创新人才。</w:t>
      </w:r>
    </w:p>
    <w:p w14:paraId="664F13D9">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Times New Roman" w:hAnsi="Times New Roman" w:eastAsia="仿宋_GB2312"/>
          <w:b/>
          <w:bCs/>
          <w:color w:val="auto"/>
          <w:sz w:val="32"/>
          <w:szCs w:val="32"/>
        </w:rPr>
      </w:pPr>
      <w:r>
        <w:rPr>
          <w:rFonts w:hint="eastAsia" w:ascii="Times New Roman" w:hAnsi="Times New Roman" w:eastAsia="仿宋_GB2312"/>
          <w:b/>
          <w:bCs/>
          <w:color w:val="auto"/>
          <w:sz w:val="32"/>
          <w:szCs w:val="32"/>
        </w:rPr>
        <w:t>三、申报要求</w:t>
      </w:r>
    </w:p>
    <w:p w14:paraId="79EB4BE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申报数量：各</w:t>
      </w:r>
      <w:r>
        <w:rPr>
          <w:rFonts w:hint="eastAsia" w:ascii="Times New Roman" w:hAnsi="Times New Roman" w:eastAsia="仿宋_GB2312"/>
          <w:color w:val="auto"/>
          <w:sz w:val="32"/>
          <w:szCs w:val="32"/>
          <w:lang w:val="en-US" w:eastAsia="zh-CN"/>
        </w:rPr>
        <w:t>研究生培养单位、部门</w:t>
      </w:r>
      <w:r>
        <w:rPr>
          <w:rFonts w:hint="eastAsia" w:ascii="Times New Roman" w:hAnsi="Times New Roman" w:eastAsia="仿宋_GB2312"/>
          <w:color w:val="auto"/>
          <w:sz w:val="32"/>
          <w:szCs w:val="32"/>
        </w:rPr>
        <w:t>要认真组织课程思政优秀课程的认定工作，择优限额推荐</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排序</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。推荐名单需进行不少于3个工作日的公示，公示无异议者方可上报。</w:t>
      </w:r>
      <w:r>
        <w:rPr>
          <w:rFonts w:hint="eastAsia" w:ascii="Times New Roman" w:hAnsi="Times New Roman" w:eastAsia="仿宋_GB2312"/>
          <w:color w:val="auto"/>
          <w:sz w:val="32"/>
          <w:szCs w:val="32"/>
          <w:highlight w:val="none"/>
          <w:lang w:val="en-US" w:eastAsia="zh-CN"/>
        </w:rPr>
        <w:t>我校向市教委</w:t>
      </w:r>
      <w:r>
        <w:rPr>
          <w:rFonts w:hint="eastAsia" w:ascii="Times New Roman" w:hAnsi="Times New Roman" w:eastAsia="仿宋_GB2312"/>
          <w:color w:val="auto"/>
          <w:sz w:val="32"/>
          <w:szCs w:val="32"/>
          <w:lang w:val="en-US" w:eastAsia="zh-CN"/>
        </w:rPr>
        <w:t>推荐</w:t>
      </w:r>
      <w:r>
        <w:rPr>
          <w:rFonts w:hint="eastAsia" w:ascii="Times New Roman" w:hAnsi="Times New Roman" w:eastAsia="仿宋_GB2312"/>
          <w:color w:val="auto"/>
          <w:sz w:val="32"/>
          <w:szCs w:val="32"/>
        </w:rPr>
        <w:t>名额见附件1</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其中卓越工程师学院、学科交叉中心等指标单列，需以相关单位名义申报，不能另做他用。</w:t>
      </w:r>
      <w:r>
        <w:rPr>
          <w:rFonts w:hint="eastAsia" w:ascii="Times New Roman" w:hAnsi="Times New Roman" w:eastAsia="仿宋_GB2312"/>
          <w:color w:val="auto"/>
          <w:sz w:val="32"/>
          <w:szCs w:val="32"/>
          <w:highlight w:val="none"/>
          <w:lang w:val="en-US" w:eastAsia="zh-CN"/>
        </w:rPr>
        <w:t>学校组织评审、公示，按推荐名额报送市教委，由市教委最终评审后确定结果。</w:t>
      </w:r>
    </w:p>
    <w:p w14:paraId="22F1DBE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申报时间：各</w:t>
      </w:r>
      <w:r>
        <w:rPr>
          <w:rFonts w:hint="eastAsia" w:ascii="Times New Roman" w:hAnsi="Times New Roman" w:eastAsia="仿宋_GB2312"/>
          <w:color w:val="auto"/>
          <w:sz w:val="32"/>
          <w:szCs w:val="32"/>
          <w:lang w:val="en-US" w:eastAsia="zh-CN"/>
        </w:rPr>
        <w:t>研究生培养</w:t>
      </w:r>
      <w:r>
        <w:rPr>
          <w:rFonts w:hint="eastAsia" w:ascii="Times New Roman" w:hAnsi="Times New Roman" w:eastAsia="仿宋_GB2312"/>
          <w:color w:val="auto"/>
          <w:sz w:val="32"/>
          <w:szCs w:val="32"/>
        </w:rPr>
        <w:t>单位</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部门</w:t>
      </w:r>
      <w:r>
        <w:rPr>
          <w:rFonts w:hint="eastAsia" w:ascii="Times New Roman" w:hAnsi="Times New Roman" w:eastAsia="仿宋_GB2312"/>
          <w:color w:val="auto"/>
          <w:sz w:val="32"/>
          <w:szCs w:val="32"/>
        </w:rPr>
        <w:t>务必于2026年5月</w:t>
      </w:r>
      <w:r>
        <w:rPr>
          <w:rFonts w:hint="eastAsia" w:ascii="Times New Roman" w:hAnsi="Times New Roman" w:eastAsia="仿宋_GB2312"/>
          <w:color w:val="auto"/>
          <w:sz w:val="32"/>
          <w:szCs w:val="32"/>
          <w:lang w:val="en-US" w:eastAsia="zh-CN"/>
        </w:rPr>
        <w:t>11</w:t>
      </w:r>
      <w:r>
        <w:rPr>
          <w:rFonts w:hint="eastAsia" w:ascii="Times New Roman" w:hAnsi="Times New Roman" w:eastAsia="仿宋_GB2312"/>
          <w:color w:val="auto"/>
          <w:sz w:val="32"/>
          <w:szCs w:val="32"/>
        </w:rPr>
        <w:t>日前，将《天津市高校研究生课程思政优秀课程推荐汇总表》</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附件2</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一式一份</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、《天津市高校研究生课程思政优秀课程申报书》</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附件3</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一式三份</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报送至</w:t>
      </w:r>
      <w:r>
        <w:rPr>
          <w:rFonts w:hint="eastAsia" w:ascii="Times New Roman" w:hAnsi="Times New Roman" w:eastAsia="仿宋_GB2312"/>
          <w:color w:val="auto"/>
          <w:sz w:val="32"/>
          <w:szCs w:val="32"/>
          <w:lang w:val="en-US" w:eastAsia="zh-CN"/>
        </w:rPr>
        <w:t>研究生院</w:t>
      </w:r>
      <w:r>
        <w:rPr>
          <w:rFonts w:hint="eastAsia" w:ascii="Times New Roman" w:hAnsi="Times New Roman" w:eastAsia="仿宋_GB2312"/>
          <w:color w:val="auto"/>
          <w:sz w:val="32"/>
          <w:szCs w:val="32"/>
        </w:rPr>
        <w:t>，以上材料电子版、完整的教学大纲和教案以及代表性课程视频</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标准见附件4</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同时用U盘报送，逾期不予受理。</w:t>
      </w:r>
    </w:p>
    <w:p w14:paraId="185A34D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文件命名规则</w:t>
      </w:r>
    </w:p>
    <w:p w14:paraId="0A1C3A0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一级标题</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河北工业大学</w:t>
      </w:r>
      <w:r>
        <w:rPr>
          <w:rFonts w:hint="eastAsia" w:ascii="Times New Roman" w:hAnsi="Times New Roman" w:eastAsia="仿宋_GB2312"/>
          <w:color w:val="auto"/>
          <w:sz w:val="32"/>
          <w:szCs w:val="32"/>
        </w:rPr>
        <w:t>2026年天津市高校研究生课程思政优秀课程材料”。</w:t>
      </w:r>
    </w:p>
    <w:p w14:paraId="60CEB0E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二级标题为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河北工业大学</w:t>
      </w:r>
      <w:r>
        <w:rPr>
          <w:rFonts w:hint="eastAsia" w:ascii="Times New Roman" w:hAnsi="Times New Roman" w:eastAsia="仿宋_GB2312"/>
          <w:color w:val="auto"/>
          <w:sz w:val="32"/>
          <w:szCs w:val="32"/>
        </w:rPr>
        <w:t>2026年天津市高校研究生课程思政优秀课程推荐汇总表</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PDF版+WORD版</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河北工业大学</w:t>
      </w:r>
      <w:r>
        <w:rPr>
          <w:rFonts w:hint="eastAsia" w:ascii="Times New Roman" w:hAnsi="Times New Roman" w:eastAsia="仿宋_GB2312"/>
          <w:color w:val="auto"/>
          <w:sz w:val="32"/>
          <w:szCs w:val="32"/>
        </w:rPr>
        <w:t>2026年天津市高校研究生课程思政优秀课程申报材料汇总</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该文件夹内为每个课程单独建立文件夹，命名为“</w:t>
      </w:r>
      <w:r>
        <w:rPr>
          <w:rFonts w:hint="eastAsia" w:ascii="Times New Roman" w:hAnsi="Times New Roman" w:eastAsia="仿宋_GB2312"/>
          <w:color w:val="auto"/>
          <w:sz w:val="32"/>
          <w:szCs w:val="32"/>
          <w:lang w:val="en-US" w:eastAsia="zh-CN"/>
        </w:rPr>
        <w:t>河北工业大学</w:t>
      </w:r>
      <w:r>
        <w:rPr>
          <w:rFonts w:hint="eastAsia" w:ascii="Times New Roman" w:hAnsi="Times New Roman" w:eastAsia="仿宋_GB2312"/>
          <w:color w:val="auto"/>
          <w:sz w:val="32"/>
          <w:szCs w:val="32"/>
        </w:rPr>
        <w:t>+推荐顺序+课程名称”</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内容包含加盖学校党委公章的PDF版申报书、完整的教学大纲、教案以及代表性课程视频。</w:t>
      </w:r>
    </w:p>
    <w:p w14:paraId="758DE17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napToGrid/>
          <w:color w:val="auto"/>
          <w:kern w:val="2"/>
          <w:sz w:val="32"/>
          <w:szCs w:val="40"/>
          <w:lang w:val="en-US" w:eastAsia="zh-CN"/>
        </w:rPr>
      </w:pPr>
      <w:r>
        <w:rPr>
          <w:rFonts w:hint="eastAsia" w:ascii="仿宋_GB2312" w:hAnsi="仿宋_GB2312" w:eastAsia="仿宋_GB2312" w:cs="仿宋_GB2312"/>
          <w:snapToGrid/>
          <w:color w:val="auto"/>
          <w:kern w:val="2"/>
          <w:sz w:val="32"/>
          <w:szCs w:val="40"/>
          <w:lang w:val="en-US" w:eastAsia="zh-CN"/>
        </w:rPr>
        <w:t>4.联系人及联系方式</w:t>
      </w:r>
    </w:p>
    <w:p w14:paraId="4E50DAA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napToGrid/>
          <w:color w:val="auto"/>
          <w:kern w:val="2"/>
          <w:sz w:val="32"/>
          <w:szCs w:val="40"/>
          <w:lang w:val="en-US" w:eastAsia="en-US"/>
        </w:rPr>
      </w:pPr>
      <w:r>
        <w:rPr>
          <w:rFonts w:hint="eastAsia" w:ascii="仿宋_GB2312" w:hAnsi="仿宋_GB2312" w:eastAsia="仿宋_GB2312" w:cs="仿宋_GB2312"/>
          <w:snapToGrid/>
          <w:color w:val="auto"/>
          <w:kern w:val="2"/>
          <w:sz w:val="32"/>
          <w:szCs w:val="40"/>
          <w:lang w:val="en-US" w:eastAsia="en-US"/>
        </w:rPr>
        <w:t>联系人:</w:t>
      </w:r>
      <w:r>
        <w:rPr>
          <w:rFonts w:hint="eastAsia" w:ascii="仿宋_GB2312" w:hAnsi="仿宋_GB2312" w:eastAsia="仿宋_GB2312" w:cs="仿宋_GB2312"/>
          <w:snapToGrid/>
          <w:color w:val="auto"/>
          <w:kern w:val="2"/>
          <w:sz w:val="32"/>
          <w:szCs w:val="40"/>
          <w:lang w:val="en-US" w:eastAsia="zh-CN"/>
        </w:rPr>
        <w:t>高老师；</w:t>
      </w:r>
      <w:r>
        <w:rPr>
          <w:rFonts w:hint="eastAsia" w:ascii="仿宋_GB2312" w:hAnsi="仿宋_GB2312" w:eastAsia="仿宋_GB2312" w:cs="仿宋_GB2312"/>
          <w:snapToGrid/>
          <w:color w:val="auto"/>
          <w:kern w:val="2"/>
          <w:sz w:val="32"/>
          <w:szCs w:val="40"/>
          <w:lang w:val="en-US" w:eastAsia="en-US"/>
        </w:rPr>
        <w:t>联系电话:</w:t>
      </w:r>
      <w:r>
        <w:rPr>
          <w:rFonts w:hint="eastAsia" w:ascii="仿宋_GB2312" w:hAnsi="仿宋_GB2312" w:eastAsia="仿宋_GB2312" w:cs="仿宋_GB2312"/>
          <w:snapToGrid/>
          <w:color w:val="auto"/>
          <w:kern w:val="2"/>
          <w:sz w:val="32"/>
          <w:szCs w:val="40"/>
          <w:lang w:val="en-US" w:eastAsia="zh-CN"/>
        </w:rPr>
        <w:t>60438231</w:t>
      </w:r>
      <w:r>
        <w:rPr>
          <w:rFonts w:hint="eastAsia" w:ascii="仿宋_GB2312" w:hAnsi="仿宋_GB2312" w:eastAsia="仿宋_GB2312" w:cs="仿宋_GB2312"/>
          <w:snapToGrid/>
          <w:color w:val="auto"/>
          <w:kern w:val="2"/>
          <w:sz w:val="32"/>
          <w:szCs w:val="40"/>
          <w:lang w:val="en-US" w:eastAsia="en-US"/>
        </w:rPr>
        <w:t>。</w:t>
      </w:r>
    </w:p>
    <w:p w14:paraId="65B73F3C">
      <w:pPr>
        <w:pStyle w:val="2"/>
        <w:spacing w:before="101" w:line="339" w:lineRule="auto"/>
        <w:ind w:right="244" w:firstLine="640" w:firstLineChars="200"/>
        <w:rPr>
          <w:rFonts w:hint="eastAsia" w:ascii="Times New Roman" w:hAnsi="Times New Roman" w:eastAsia="仿宋_GB2312" w:cs="Arial"/>
          <w:snapToGrid w:val="0"/>
          <w:color w:val="auto"/>
          <w:sz w:val="32"/>
          <w:szCs w:val="32"/>
          <w:lang w:val="en-US" w:eastAsia="zh-CN" w:bidi="ar-SA"/>
        </w:rPr>
      </w:pPr>
    </w:p>
    <w:p w14:paraId="6A881A24">
      <w:pPr>
        <w:pStyle w:val="2"/>
        <w:spacing w:before="101" w:line="339" w:lineRule="auto"/>
        <w:ind w:right="244" w:firstLine="640" w:firstLineChars="200"/>
        <w:rPr>
          <w:rFonts w:hint="eastAsia" w:ascii="Times New Roman" w:hAnsi="Times New Roman" w:eastAsia="仿宋_GB2312" w:cs="Arial"/>
          <w:snapToGrid w:val="0"/>
          <w:color w:val="auto"/>
          <w:sz w:val="32"/>
          <w:szCs w:val="32"/>
          <w:lang w:val="en-US" w:eastAsia="zh-CN" w:bidi="ar-SA"/>
        </w:rPr>
      </w:pPr>
      <w:r>
        <w:rPr>
          <w:rFonts w:hint="eastAsia" w:ascii="Times New Roman" w:hAnsi="Times New Roman" w:eastAsia="仿宋_GB2312" w:cs="Arial"/>
          <w:snapToGrid w:val="0"/>
          <w:color w:val="auto"/>
          <w:sz w:val="32"/>
          <w:szCs w:val="32"/>
          <w:lang w:val="en-US" w:eastAsia="zh-CN" w:bidi="ar-SA"/>
        </w:rPr>
        <w:t>附件：1.天津市研究生课程思政优秀课程推荐名额</w:t>
      </w:r>
    </w:p>
    <w:p w14:paraId="56A464D8">
      <w:pPr>
        <w:pStyle w:val="2"/>
        <w:spacing w:before="101" w:line="339" w:lineRule="auto"/>
        <w:ind w:right="244" w:firstLine="1600" w:firstLineChars="500"/>
        <w:rPr>
          <w:rFonts w:hint="eastAsia" w:ascii="Times New Roman" w:hAnsi="Times New Roman" w:eastAsia="仿宋_GB2312" w:cs="Arial"/>
          <w:snapToGrid w:val="0"/>
          <w:color w:val="auto"/>
          <w:sz w:val="32"/>
          <w:szCs w:val="32"/>
          <w:lang w:val="en-US" w:eastAsia="zh-CN" w:bidi="ar-SA"/>
        </w:rPr>
      </w:pPr>
      <w:r>
        <w:rPr>
          <w:rFonts w:hint="eastAsia" w:ascii="Times New Roman" w:hAnsi="Times New Roman" w:eastAsia="仿宋_GB2312" w:cs="Arial"/>
          <w:snapToGrid w:val="0"/>
          <w:color w:val="auto"/>
          <w:sz w:val="32"/>
          <w:szCs w:val="32"/>
          <w:lang w:val="en-US" w:eastAsia="zh-CN" w:bidi="ar-SA"/>
        </w:rPr>
        <w:t>2.天津市研究生课程思政优秀课程推荐汇总表</w:t>
      </w:r>
    </w:p>
    <w:p w14:paraId="6D2CBF4B">
      <w:pPr>
        <w:pStyle w:val="2"/>
        <w:spacing w:before="101" w:line="339" w:lineRule="auto"/>
        <w:ind w:right="244" w:firstLine="1600" w:firstLineChars="500"/>
        <w:rPr>
          <w:rFonts w:hint="eastAsia" w:ascii="Times New Roman" w:hAnsi="Times New Roman" w:eastAsia="仿宋_GB2312" w:cs="Arial"/>
          <w:snapToGrid w:val="0"/>
          <w:color w:val="auto"/>
          <w:sz w:val="32"/>
          <w:szCs w:val="32"/>
          <w:lang w:val="en-US" w:eastAsia="zh-CN" w:bidi="ar-SA"/>
        </w:rPr>
      </w:pPr>
      <w:r>
        <w:rPr>
          <w:rFonts w:hint="eastAsia" w:ascii="Times New Roman" w:hAnsi="Times New Roman" w:eastAsia="仿宋_GB2312" w:cs="Arial"/>
          <w:snapToGrid w:val="0"/>
          <w:color w:val="auto"/>
          <w:sz w:val="32"/>
          <w:szCs w:val="32"/>
          <w:lang w:val="en-US" w:eastAsia="zh-CN" w:bidi="ar-SA"/>
        </w:rPr>
        <w:t>3.天津市研究生课程思政优秀课程申报书</w:t>
      </w:r>
    </w:p>
    <w:p w14:paraId="7341E758">
      <w:pPr>
        <w:pStyle w:val="2"/>
        <w:spacing w:before="101" w:line="339" w:lineRule="auto"/>
        <w:ind w:right="244" w:firstLine="1600" w:firstLineChars="500"/>
        <w:rPr>
          <w:rFonts w:hint="eastAsia" w:ascii="Times New Roman" w:hAnsi="Times New Roman" w:eastAsia="仿宋_GB2312" w:cs="Arial"/>
          <w:snapToGrid w:val="0"/>
          <w:color w:val="auto"/>
          <w:sz w:val="32"/>
          <w:szCs w:val="32"/>
          <w:lang w:val="en-US" w:eastAsia="zh-CN" w:bidi="ar-SA"/>
        </w:rPr>
      </w:pPr>
      <w:r>
        <w:rPr>
          <w:rFonts w:hint="eastAsia" w:ascii="Times New Roman" w:hAnsi="Times New Roman" w:eastAsia="仿宋_GB2312" w:cs="Arial"/>
          <w:snapToGrid w:val="0"/>
          <w:color w:val="auto"/>
          <w:sz w:val="32"/>
          <w:szCs w:val="32"/>
          <w:lang w:val="en-US" w:eastAsia="zh-CN" w:bidi="ar-SA"/>
        </w:rPr>
        <w:t>4.天津市研究生课程思政优秀课程视频标准</w:t>
      </w:r>
    </w:p>
    <w:p w14:paraId="45BC0336">
      <w:pPr>
        <w:pStyle w:val="2"/>
        <w:spacing w:before="101" w:line="339" w:lineRule="auto"/>
        <w:ind w:right="244" w:firstLine="640" w:firstLineChars="200"/>
        <w:rPr>
          <w:rFonts w:hint="eastAsia" w:ascii="Times New Roman" w:hAnsi="Times New Roman" w:eastAsia="仿宋_GB2312" w:cs="Arial"/>
          <w:snapToGrid w:val="0"/>
          <w:color w:val="auto"/>
          <w:sz w:val="32"/>
          <w:szCs w:val="32"/>
          <w:lang w:val="en-US" w:eastAsia="zh-CN" w:bidi="ar-SA"/>
        </w:rPr>
      </w:pPr>
    </w:p>
    <w:p w14:paraId="575B3AA9">
      <w:pPr>
        <w:keepNext w:val="0"/>
        <w:keepLines w:val="0"/>
        <w:pageBreakBefore w:val="0"/>
        <w:widowControl w:val="0"/>
        <w:kinsoku/>
        <w:wordWrap/>
        <w:overflowPunct/>
        <w:topLinePunct w:val="0"/>
        <w:autoSpaceDE/>
        <w:autoSpaceDN/>
        <w:bidi w:val="0"/>
        <w:adjustRightInd/>
        <w:snapToGrid/>
        <w:spacing w:line="580" w:lineRule="exact"/>
        <w:ind w:firstLine="5120" w:firstLineChars="1600"/>
        <w:jc w:val="both"/>
        <w:textAlignment w:val="auto"/>
        <w:rPr>
          <w:rFonts w:hint="eastAsia" w:ascii="Times New Roman" w:hAnsi="Times New Roman" w:eastAsia="仿宋_GB2312" w:cs="Arial"/>
          <w:snapToGrid w:val="0"/>
          <w:color w:val="auto"/>
          <w:sz w:val="32"/>
          <w:szCs w:val="32"/>
          <w:lang w:val="en-US" w:eastAsia="en-US" w:bidi="ar-SA"/>
        </w:rPr>
      </w:pPr>
      <w:r>
        <w:rPr>
          <w:rFonts w:hint="eastAsia" w:ascii="Times New Roman" w:hAnsi="Times New Roman" w:eastAsia="仿宋_GB2312" w:cs="Arial"/>
          <w:snapToGrid w:val="0"/>
          <w:color w:val="auto"/>
          <w:sz w:val="32"/>
          <w:szCs w:val="32"/>
          <w:lang w:val="en-US" w:eastAsia="en-US" w:bidi="ar-SA"/>
        </w:rPr>
        <w:t>研究生院</w:t>
      </w:r>
    </w:p>
    <w:p w14:paraId="2D1F84FC">
      <w:pPr>
        <w:keepNext w:val="0"/>
        <w:keepLines w:val="0"/>
        <w:pageBreakBefore w:val="0"/>
        <w:widowControl w:val="0"/>
        <w:kinsoku/>
        <w:wordWrap/>
        <w:overflowPunct/>
        <w:topLinePunct w:val="0"/>
        <w:autoSpaceDE/>
        <w:autoSpaceDN/>
        <w:bidi w:val="0"/>
        <w:adjustRightInd/>
        <w:snapToGrid/>
        <w:spacing w:line="580" w:lineRule="exact"/>
        <w:ind w:firstLine="4480" w:firstLineChars="1400"/>
        <w:jc w:val="both"/>
        <w:textAlignment w:val="auto"/>
        <w:rPr>
          <w:rFonts w:hint="eastAsia" w:ascii="Times New Roman" w:hAnsi="Times New Roman" w:eastAsia="仿宋_GB2312" w:cs="Arial"/>
          <w:snapToGrid w:val="0"/>
          <w:color w:val="auto"/>
          <w:sz w:val="32"/>
          <w:szCs w:val="32"/>
          <w:lang w:val="en-US" w:eastAsia="zh-CN" w:bidi="ar-SA"/>
        </w:rPr>
      </w:pPr>
      <w:r>
        <w:rPr>
          <w:rFonts w:hint="eastAsia" w:ascii="Times New Roman" w:hAnsi="Times New Roman" w:eastAsia="仿宋_GB2312" w:cs="Arial"/>
          <w:snapToGrid w:val="0"/>
          <w:color w:val="auto"/>
          <w:sz w:val="32"/>
          <w:szCs w:val="32"/>
          <w:lang w:val="en-US" w:eastAsia="en-US" w:bidi="ar-SA"/>
        </w:rPr>
        <w:t>202</w:t>
      </w:r>
      <w:r>
        <w:rPr>
          <w:rFonts w:hint="eastAsia" w:ascii="Times New Roman" w:hAnsi="Times New Roman" w:eastAsia="仿宋_GB2312" w:cs="Arial"/>
          <w:snapToGrid w:val="0"/>
          <w:color w:val="auto"/>
          <w:sz w:val="32"/>
          <w:szCs w:val="32"/>
          <w:lang w:val="en-US" w:eastAsia="zh-CN" w:bidi="ar-SA"/>
        </w:rPr>
        <w:t>6</w:t>
      </w:r>
      <w:r>
        <w:rPr>
          <w:rFonts w:hint="eastAsia" w:ascii="Times New Roman" w:hAnsi="Times New Roman" w:eastAsia="仿宋_GB2312" w:cs="Arial"/>
          <w:snapToGrid w:val="0"/>
          <w:color w:val="auto"/>
          <w:sz w:val="32"/>
          <w:szCs w:val="32"/>
          <w:lang w:val="en-US" w:eastAsia="en-US" w:bidi="ar-SA"/>
        </w:rPr>
        <w:t>年</w:t>
      </w:r>
      <w:r>
        <w:rPr>
          <w:rFonts w:hint="eastAsia" w:ascii="Times New Roman" w:hAnsi="Times New Roman" w:eastAsia="仿宋_GB2312" w:cs="Arial"/>
          <w:snapToGrid w:val="0"/>
          <w:color w:val="auto"/>
          <w:sz w:val="32"/>
          <w:szCs w:val="32"/>
          <w:lang w:val="en-US" w:eastAsia="zh-CN" w:bidi="ar-SA"/>
        </w:rPr>
        <w:t>4月23</w:t>
      </w:r>
      <w:r>
        <w:rPr>
          <w:rFonts w:hint="eastAsia" w:ascii="Times New Roman" w:hAnsi="Times New Roman" w:eastAsia="仿宋_GB2312" w:cs="Arial"/>
          <w:snapToGrid w:val="0"/>
          <w:color w:val="auto"/>
          <w:sz w:val="32"/>
          <w:szCs w:val="32"/>
          <w:lang w:val="en-US" w:eastAsia="en-US" w:bidi="ar-SA"/>
        </w:rPr>
        <w:t>日</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A31B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C551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4C551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183D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02653"/>
    <w:rsid w:val="0265792B"/>
    <w:rsid w:val="046E6DDE"/>
    <w:rsid w:val="04D118E4"/>
    <w:rsid w:val="051D2251"/>
    <w:rsid w:val="054F2D8B"/>
    <w:rsid w:val="076D6CD9"/>
    <w:rsid w:val="07E8334B"/>
    <w:rsid w:val="08BB687A"/>
    <w:rsid w:val="08C2017B"/>
    <w:rsid w:val="0969226A"/>
    <w:rsid w:val="0A310FDA"/>
    <w:rsid w:val="0B92411A"/>
    <w:rsid w:val="0BCE5EDC"/>
    <w:rsid w:val="0D645222"/>
    <w:rsid w:val="0E5008D1"/>
    <w:rsid w:val="0EE13405"/>
    <w:rsid w:val="117A6EA8"/>
    <w:rsid w:val="12874A67"/>
    <w:rsid w:val="128B3251"/>
    <w:rsid w:val="13BD568C"/>
    <w:rsid w:val="144759F9"/>
    <w:rsid w:val="1478306A"/>
    <w:rsid w:val="1634496C"/>
    <w:rsid w:val="167C222A"/>
    <w:rsid w:val="17133B6C"/>
    <w:rsid w:val="18563879"/>
    <w:rsid w:val="18962A3F"/>
    <w:rsid w:val="1897541E"/>
    <w:rsid w:val="1A530AF8"/>
    <w:rsid w:val="1B4D5548"/>
    <w:rsid w:val="1C054410"/>
    <w:rsid w:val="1D2E7430"/>
    <w:rsid w:val="1F122994"/>
    <w:rsid w:val="1FFC7B69"/>
    <w:rsid w:val="231F563D"/>
    <w:rsid w:val="23BB1C9C"/>
    <w:rsid w:val="24635DDC"/>
    <w:rsid w:val="2A291446"/>
    <w:rsid w:val="2A5D1F7D"/>
    <w:rsid w:val="2AE97F8D"/>
    <w:rsid w:val="2CC7473A"/>
    <w:rsid w:val="2E330B30"/>
    <w:rsid w:val="2F405247"/>
    <w:rsid w:val="2F4862FA"/>
    <w:rsid w:val="306837AC"/>
    <w:rsid w:val="31902653"/>
    <w:rsid w:val="33947D60"/>
    <w:rsid w:val="34EC612B"/>
    <w:rsid w:val="36D14E27"/>
    <w:rsid w:val="37634043"/>
    <w:rsid w:val="379B110E"/>
    <w:rsid w:val="39113C01"/>
    <w:rsid w:val="39397EF6"/>
    <w:rsid w:val="39597E07"/>
    <w:rsid w:val="3A20459B"/>
    <w:rsid w:val="3A402C79"/>
    <w:rsid w:val="3ACC4283"/>
    <w:rsid w:val="3B820DE6"/>
    <w:rsid w:val="3C613C13"/>
    <w:rsid w:val="3D5042A4"/>
    <w:rsid w:val="3E281D66"/>
    <w:rsid w:val="3FCF2120"/>
    <w:rsid w:val="3FF02C18"/>
    <w:rsid w:val="414D5EC6"/>
    <w:rsid w:val="415648A7"/>
    <w:rsid w:val="41DD6D76"/>
    <w:rsid w:val="45275A63"/>
    <w:rsid w:val="452A5781"/>
    <w:rsid w:val="45CB4811"/>
    <w:rsid w:val="46382886"/>
    <w:rsid w:val="46C027C2"/>
    <w:rsid w:val="486B751A"/>
    <w:rsid w:val="48807B87"/>
    <w:rsid w:val="49DB7769"/>
    <w:rsid w:val="4E4B5067"/>
    <w:rsid w:val="4F8C6496"/>
    <w:rsid w:val="509A3B60"/>
    <w:rsid w:val="50F23DAB"/>
    <w:rsid w:val="52AE4144"/>
    <w:rsid w:val="52F51FF1"/>
    <w:rsid w:val="5520724E"/>
    <w:rsid w:val="560A36C1"/>
    <w:rsid w:val="56AB50DA"/>
    <w:rsid w:val="57F63403"/>
    <w:rsid w:val="59C6764A"/>
    <w:rsid w:val="5A3D4747"/>
    <w:rsid w:val="5D995AB6"/>
    <w:rsid w:val="5ED1105D"/>
    <w:rsid w:val="60BB42CE"/>
    <w:rsid w:val="61204131"/>
    <w:rsid w:val="62471F04"/>
    <w:rsid w:val="62CE1116"/>
    <w:rsid w:val="659761AC"/>
    <w:rsid w:val="66B75B5F"/>
    <w:rsid w:val="67A468F0"/>
    <w:rsid w:val="68AB6CFB"/>
    <w:rsid w:val="6C044EAC"/>
    <w:rsid w:val="6CD81EB6"/>
    <w:rsid w:val="6D005ABB"/>
    <w:rsid w:val="6FE169C0"/>
    <w:rsid w:val="6FE80510"/>
    <w:rsid w:val="71BB2380"/>
    <w:rsid w:val="73A11F2D"/>
    <w:rsid w:val="757B5C19"/>
    <w:rsid w:val="769B008A"/>
    <w:rsid w:val="76C47F3A"/>
    <w:rsid w:val="777D1E86"/>
    <w:rsid w:val="77E93077"/>
    <w:rsid w:val="77F959B0"/>
    <w:rsid w:val="785B5D23"/>
    <w:rsid w:val="799E21E1"/>
    <w:rsid w:val="7DCE6497"/>
    <w:rsid w:val="7E7933A7"/>
    <w:rsid w:val="7F13408A"/>
    <w:rsid w:val="7FEC3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1855</Words>
  <Characters>1914</Characters>
  <Lines>0</Lines>
  <Paragraphs>0</Paragraphs>
  <TotalTime>14</TotalTime>
  <ScaleCrop>false</ScaleCrop>
  <LinksUpToDate>false</LinksUpToDate>
  <CharactersWithSpaces>1914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2025-02-23T06:01:00Z</dcterms:created>
  <dc:creator>挑灯看剑</dc:creator>
  <cp:lastModifiedBy>高长虹</cp:lastModifiedBy>
  <cp:lastPrinted>2026-04-23T03:13:00Z</cp:lastPrinted>
  <dcterms:modified xsi:type="dcterms:W3CDTF">2026-04-23T07:13:50Z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312C6AC3E85946048C45C316FB0058FC_11</vt:lpwstr>
  </property>
  <property fmtid="{D5CDD505-2E9C-101B-9397-08002B2CF9AE}" pid="4" name="KSOTemplateDocerSaveRecord">
    <vt:lpwstr>eyJoZGlkIjoiZWU2ZTg0OTk1MjBjZWJmMzcxMWVlMjAwMzk0ZjAyMmUiLCJ1c2VySWQiOiIxNjMwOTI3OTM4In0=</vt:lpwstr>
  </property>
</Properties>
</file>